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E174631"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8B45D3">
        <w:rPr>
          <w:rFonts w:ascii="Arial" w:hAnsi="Arial" w:cs="Arial"/>
          <w:b/>
          <w:sz w:val="24"/>
          <w:szCs w:val="28"/>
        </w:rPr>
        <w:t>9</w:t>
      </w:r>
      <w:r w:rsidR="00F85813">
        <w:rPr>
          <w:rFonts w:ascii="Arial"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1145E7" w:rsidRPr="001145E7">
        <w:rPr>
          <w:rFonts w:ascii="Arial" w:hAnsi="Arial" w:cs="Arial"/>
          <w:b/>
          <w:sz w:val="24"/>
          <w:szCs w:val="28"/>
        </w:rPr>
        <w:t>R2-250246</w:t>
      </w:r>
      <w:r w:rsidR="001145E7">
        <w:rPr>
          <w:rFonts w:ascii="Arial" w:hAnsi="Arial" w:cs="Arial"/>
          <w:b/>
          <w:sz w:val="24"/>
          <w:szCs w:val="28"/>
        </w:rPr>
        <w:t>4</w:t>
      </w:r>
    </w:p>
    <w:p w14:paraId="1FC815AD" w14:textId="1AB232EA" w:rsidR="00A053D1" w:rsidRPr="0060578E" w:rsidRDefault="00F85813">
      <w:pPr>
        <w:tabs>
          <w:tab w:val="left" w:pos="567"/>
        </w:tabs>
        <w:rPr>
          <w:rFonts w:ascii="Arial" w:hAnsi="Arial"/>
          <w:b/>
          <w:sz w:val="22"/>
          <w:szCs w:val="24"/>
        </w:rPr>
      </w:pPr>
      <w:r>
        <w:rPr>
          <w:rFonts w:ascii="Arial" w:hAnsi="Arial" w:cs="Arial"/>
          <w:b/>
          <w:sz w:val="24"/>
          <w:szCs w:val="28"/>
        </w:rPr>
        <w:t>Wuhan, China</w:t>
      </w:r>
      <w:r w:rsidR="000C2486" w:rsidRPr="0060578E">
        <w:rPr>
          <w:rFonts w:ascii="Arial" w:hAnsi="Arial" w:cs="Arial"/>
          <w:b/>
          <w:sz w:val="24"/>
          <w:szCs w:val="28"/>
        </w:rPr>
        <w:t xml:space="preserve">, </w:t>
      </w:r>
      <w:r w:rsidR="008B45D3">
        <w:rPr>
          <w:rFonts w:ascii="Arial" w:eastAsia="MS Mincho" w:hAnsi="Arial" w:cs="Arial"/>
          <w:b/>
          <w:sz w:val="24"/>
          <w:lang w:eastAsia="en-US"/>
        </w:rPr>
        <w:t xml:space="preserve">7 – </w:t>
      </w:r>
      <w:r>
        <w:rPr>
          <w:rFonts w:ascii="Arial" w:eastAsia="MS Mincho" w:hAnsi="Arial" w:cs="Arial"/>
          <w:b/>
          <w:sz w:val="24"/>
          <w:lang w:eastAsia="en-US"/>
        </w:rPr>
        <w:t>1</w:t>
      </w:r>
      <w:r w:rsidR="008B45D3">
        <w:rPr>
          <w:rFonts w:ascii="Arial" w:eastAsia="MS Mincho" w:hAnsi="Arial" w:cs="Arial"/>
          <w:b/>
          <w:sz w:val="24"/>
          <w:lang w:eastAsia="en-US"/>
        </w:rPr>
        <w:t xml:space="preserve">1 </w:t>
      </w:r>
      <w:r>
        <w:rPr>
          <w:rFonts w:ascii="Arial" w:eastAsia="MS Mincho" w:hAnsi="Arial" w:cs="Arial"/>
          <w:b/>
          <w:sz w:val="24"/>
          <w:lang w:eastAsia="en-US"/>
        </w:rPr>
        <w:t>April</w:t>
      </w:r>
      <w:r w:rsidR="0058617C" w:rsidRPr="0060578E">
        <w:rPr>
          <w:rFonts w:ascii="Arial" w:eastAsia="MS Mincho" w:hAnsi="Arial" w:cs="Arial"/>
          <w:b/>
          <w:sz w:val="24"/>
          <w:lang w:eastAsia="en-US"/>
        </w:rPr>
        <w:t>, 202</w:t>
      </w:r>
      <w:r w:rsidR="008B45D3">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1A93CDFB"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FD1276">
        <w:rPr>
          <w:rFonts w:ascii="Arial" w:hAnsi="Arial"/>
          <w:sz w:val="24"/>
          <w:szCs w:val="24"/>
        </w:rPr>
        <w:t>3</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58856C2D"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bookmarkStart w:id="1" w:name="_Hlk193876228"/>
      <w:r w:rsidR="00056ED0">
        <w:rPr>
          <w:rFonts w:ascii="Arial" w:hAnsi="Arial"/>
          <w:sz w:val="24"/>
          <w:szCs w:val="24"/>
        </w:rPr>
        <w:t>Further s</w:t>
      </w:r>
      <w:r w:rsidR="00FD1276" w:rsidRPr="00FD1276">
        <w:rPr>
          <w:rFonts w:ascii="Arial" w:hAnsi="Arial"/>
          <w:sz w:val="24"/>
          <w:szCs w:val="24"/>
        </w:rPr>
        <w:t>imulation results for meas</w:t>
      </w:r>
      <w:r w:rsidR="00FD1276">
        <w:rPr>
          <w:rFonts w:ascii="Arial" w:hAnsi="Arial"/>
          <w:sz w:val="24"/>
          <w:szCs w:val="24"/>
        </w:rPr>
        <w:t>urement</w:t>
      </w:r>
      <w:r w:rsidR="00FD1276" w:rsidRPr="00FD1276">
        <w:rPr>
          <w:rFonts w:ascii="Arial" w:hAnsi="Arial"/>
          <w:sz w:val="24"/>
          <w:szCs w:val="24"/>
        </w:rPr>
        <w:t xml:space="preserve"> event prediction</w:t>
      </w:r>
      <w:r w:rsidR="006F5AD1">
        <w:rPr>
          <w:rFonts w:ascii="Arial" w:hAnsi="Arial"/>
          <w:sz w:val="24"/>
          <w:szCs w:val="24"/>
        </w:rPr>
        <w:t xml:space="preserve"> in FR2</w:t>
      </w:r>
      <w:bookmarkEnd w:id="1"/>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7B56B49F" w14:textId="78ACE061" w:rsidR="00123484" w:rsidRDefault="00B30819" w:rsidP="00DF0BC6">
      <w:pPr>
        <w:spacing w:after="0"/>
        <w:rPr>
          <w:rFonts w:eastAsiaTheme="minorEastAsia"/>
        </w:rPr>
      </w:pPr>
      <w:r>
        <w:rPr>
          <w:rFonts w:eastAsiaTheme="minorEastAsia"/>
        </w:rPr>
        <w:t xml:space="preserve">In the previous meetings RAN2 </w:t>
      </w:r>
      <w:r w:rsidR="00104A09">
        <w:rPr>
          <w:rFonts w:eastAsiaTheme="minorEastAsia"/>
        </w:rPr>
        <w:t xml:space="preserve">studied </w:t>
      </w:r>
      <w:r w:rsidR="00123484">
        <w:rPr>
          <w:rFonts w:eastAsiaTheme="minorEastAsia"/>
        </w:rPr>
        <w:t>the prediction accuracy of L3 RSRP measurements using AIML models in different scenarios. The highest priority scenarios are mentioned below.</w:t>
      </w:r>
    </w:p>
    <w:p w14:paraId="38E30BA8" w14:textId="77777777" w:rsidR="00123484" w:rsidRDefault="00123484" w:rsidP="00123484">
      <w:pPr>
        <w:spacing w:after="0"/>
        <w:rPr>
          <w:rFonts w:eastAsiaTheme="minorEastAsia"/>
        </w:rPr>
      </w:pP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123484" w:rsidRPr="0060578E" w14:paraId="6DE65F05" w14:textId="77777777" w:rsidTr="00CF3577">
        <w:trPr>
          <w:jc w:val="center"/>
        </w:trPr>
        <w:tc>
          <w:tcPr>
            <w:tcW w:w="827" w:type="dxa"/>
          </w:tcPr>
          <w:p w14:paraId="7942F65B" w14:textId="77777777" w:rsidR="00123484" w:rsidRPr="0060578E" w:rsidRDefault="00123484" w:rsidP="00CF3577">
            <w:pPr>
              <w:spacing w:beforeLines="50" w:before="120"/>
            </w:pPr>
            <w:r w:rsidRPr="0060578E">
              <w:t>Case number</w:t>
            </w:r>
          </w:p>
        </w:tc>
        <w:tc>
          <w:tcPr>
            <w:tcW w:w="1312" w:type="dxa"/>
          </w:tcPr>
          <w:p w14:paraId="18F20875" w14:textId="77777777" w:rsidR="00123484" w:rsidRPr="0060578E" w:rsidRDefault="00123484" w:rsidP="00CF3577">
            <w:pPr>
              <w:spacing w:beforeLines="50" w:before="120"/>
            </w:pPr>
            <w:r w:rsidRPr="0060578E">
              <w:t xml:space="preserve">Prioritization </w:t>
            </w:r>
          </w:p>
        </w:tc>
        <w:tc>
          <w:tcPr>
            <w:tcW w:w="3668" w:type="dxa"/>
          </w:tcPr>
          <w:p w14:paraId="183B2CAD" w14:textId="77777777" w:rsidR="00123484" w:rsidRPr="0060578E" w:rsidRDefault="00123484" w:rsidP="00CF3577">
            <w:pPr>
              <w:spacing w:beforeLines="50" w:before="120"/>
            </w:pPr>
            <w:r w:rsidRPr="0060578E">
              <w:t>Evaluation scenario combination</w:t>
            </w:r>
          </w:p>
        </w:tc>
        <w:tc>
          <w:tcPr>
            <w:tcW w:w="1272" w:type="dxa"/>
          </w:tcPr>
          <w:p w14:paraId="312D96DB" w14:textId="77777777" w:rsidR="00123484" w:rsidRPr="0060578E" w:rsidRDefault="00123484" w:rsidP="00CF3577">
            <w:pPr>
              <w:spacing w:beforeLines="50" w:before="120"/>
            </w:pPr>
            <w:r w:rsidRPr="0060578E">
              <w:t>target study goal</w:t>
            </w:r>
          </w:p>
        </w:tc>
        <w:tc>
          <w:tcPr>
            <w:tcW w:w="1294" w:type="dxa"/>
          </w:tcPr>
          <w:p w14:paraId="3D011744" w14:textId="77777777" w:rsidR="00123484" w:rsidRPr="0060578E" w:rsidRDefault="00123484" w:rsidP="00CF3577">
            <w:pPr>
              <w:spacing w:beforeLines="50" w:before="120"/>
            </w:pPr>
            <w:r w:rsidRPr="0060578E">
              <w:t>Methodology</w:t>
            </w:r>
          </w:p>
        </w:tc>
      </w:tr>
      <w:tr w:rsidR="00123484" w:rsidRPr="0060578E" w14:paraId="519E6CC0" w14:textId="77777777" w:rsidTr="00CF3577">
        <w:trPr>
          <w:jc w:val="center"/>
        </w:trPr>
        <w:tc>
          <w:tcPr>
            <w:tcW w:w="827" w:type="dxa"/>
          </w:tcPr>
          <w:p w14:paraId="39D8426C" w14:textId="77777777" w:rsidR="00123484" w:rsidRPr="0060578E" w:rsidRDefault="00123484" w:rsidP="00CF3577">
            <w:pPr>
              <w:spacing w:beforeLines="50" w:before="120"/>
            </w:pPr>
            <w:r w:rsidRPr="0060578E">
              <w:t>2</w:t>
            </w:r>
          </w:p>
        </w:tc>
        <w:tc>
          <w:tcPr>
            <w:tcW w:w="1312" w:type="dxa"/>
          </w:tcPr>
          <w:p w14:paraId="3878E999" w14:textId="77777777" w:rsidR="00123484" w:rsidRPr="0060578E" w:rsidRDefault="00123484" w:rsidP="00CF3577">
            <w:pPr>
              <w:spacing w:beforeLines="50" w:before="120"/>
            </w:pPr>
            <w:r w:rsidRPr="0060578E">
              <w:t>High</w:t>
            </w:r>
          </w:p>
        </w:tc>
        <w:tc>
          <w:tcPr>
            <w:tcW w:w="3668" w:type="dxa"/>
          </w:tcPr>
          <w:p w14:paraId="11A66D8C" w14:textId="77777777" w:rsidR="00123484" w:rsidRPr="0060578E" w:rsidRDefault="00123484" w:rsidP="00CF3577">
            <w:pPr>
              <w:spacing w:beforeLines="50" w:before="120"/>
            </w:pPr>
            <w:r w:rsidRPr="0060578E">
              <w:t>FR1 to FR1 intra-frequency temporal domain case B</w:t>
            </w:r>
          </w:p>
        </w:tc>
        <w:tc>
          <w:tcPr>
            <w:tcW w:w="1272" w:type="dxa"/>
          </w:tcPr>
          <w:p w14:paraId="38C55AF8" w14:textId="77777777" w:rsidR="00123484" w:rsidRPr="0060578E" w:rsidRDefault="00123484" w:rsidP="00CF3577">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063F9E09" w14:textId="77777777" w:rsidR="00123484" w:rsidRPr="0060578E" w:rsidRDefault="00123484" w:rsidP="00CF3577">
            <w:pPr>
              <w:spacing w:beforeLines="50" w:before="120"/>
              <w:rPr>
                <w:vertAlign w:val="superscript"/>
              </w:rPr>
            </w:pPr>
            <w:r w:rsidRPr="0060578E">
              <w:t>Intra-cell</w:t>
            </w:r>
          </w:p>
        </w:tc>
      </w:tr>
      <w:tr w:rsidR="00123484" w:rsidRPr="0060578E" w14:paraId="3C46608B" w14:textId="77777777" w:rsidTr="00CF3577">
        <w:trPr>
          <w:jc w:val="center"/>
        </w:trPr>
        <w:tc>
          <w:tcPr>
            <w:tcW w:w="827" w:type="dxa"/>
          </w:tcPr>
          <w:p w14:paraId="45BEE568" w14:textId="77777777" w:rsidR="00123484" w:rsidRPr="0060578E" w:rsidRDefault="00123484" w:rsidP="00CF3577">
            <w:pPr>
              <w:spacing w:beforeLines="50" w:before="120"/>
            </w:pPr>
            <w:r w:rsidRPr="0060578E">
              <w:t>3</w:t>
            </w:r>
          </w:p>
        </w:tc>
        <w:tc>
          <w:tcPr>
            <w:tcW w:w="1312" w:type="dxa"/>
          </w:tcPr>
          <w:p w14:paraId="47739096" w14:textId="77777777" w:rsidR="00123484" w:rsidRPr="0060578E" w:rsidRDefault="00123484" w:rsidP="00CF3577">
            <w:pPr>
              <w:spacing w:beforeLines="50" w:before="120"/>
            </w:pPr>
            <w:r w:rsidRPr="0060578E">
              <w:t>High</w:t>
            </w:r>
          </w:p>
        </w:tc>
        <w:tc>
          <w:tcPr>
            <w:tcW w:w="3668" w:type="dxa"/>
          </w:tcPr>
          <w:p w14:paraId="377EA11C" w14:textId="77777777" w:rsidR="00123484" w:rsidRPr="0060578E" w:rsidRDefault="00123484" w:rsidP="00CF3577">
            <w:pPr>
              <w:spacing w:beforeLines="50" w:before="120"/>
            </w:pPr>
            <w:r w:rsidRPr="0060578E">
              <w:t>FR1 to FR1 inter-frequency (frequency domain)</w:t>
            </w:r>
          </w:p>
        </w:tc>
        <w:tc>
          <w:tcPr>
            <w:tcW w:w="1272" w:type="dxa"/>
          </w:tcPr>
          <w:p w14:paraId="0FF7881D" w14:textId="77777777" w:rsidR="00123484" w:rsidRPr="0060578E" w:rsidRDefault="00123484" w:rsidP="00CF3577">
            <w:pPr>
              <w:spacing w:beforeLines="50" w:before="120"/>
            </w:pPr>
            <w:r w:rsidRPr="0060578E">
              <w:t>1</w:t>
            </w:r>
            <w:r w:rsidRPr="0060578E">
              <w:rPr>
                <w:vertAlign w:val="superscript"/>
              </w:rPr>
              <w:t>st</w:t>
            </w:r>
            <w:r w:rsidRPr="0060578E">
              <w:t xml:space="preserve"> goal</w:t>
            </w:r>
          </w:p>
        </w:tc>
        <w:tc>
          <w:tcPr>
            <w:tcW w:w="1294" w:type="dxa"/>
          </w:tcPr>
          <w:p w14:paraId="262D8B51" w14:textId="77777777" w:rsidR="00123484" w:rsidRPr="0060578E" w:rsidRDefault="00123484" w:rsidP="00CF3577">
            <w:pPr>
              <w:spacing w:beforeLines="50" w:before="120"/>
            </w:pPr>
            <w:r w:rsidRPr="0060578E">
              <w:t xml:space="preserve">Inter-cell </w:t>
            </w:r>
          </w:p>
        </w:tc>
      </w:tr>
      <w:tr w:rsidR="00123484" w:rsidRPr="0060578E" w14:paraId="3254C1AF" w14:textId="77777777" w:rsidTr="00CF3577">
        <w:trPr>
          <w:jc w:val="center"/>
        </w:trPr>
        <w:tc>
          <w:tcPr>
            <w:tcW w:w="827" w:type="dxa"/>
          </w:tcPr>
          <w:p w14:paraId="72F27E39" w14:textId="77777777" w:rsidR="00123484" w:rsidRPr="0060578E" w:rsidRDefault="00123484" w:rsidP="00CF3577">
            <w:pPr>
              <w:spacing w:beforeLines="50" w:before="120"/>
            </w:pPr>
            <w:bookmarkStart w:id="2" w:name="_Hlk193876188"/>
            <w:r w:rsidRPr="0060578E">
              <w:t>4</w:t>
            </w:r>
          </w:p>
        </w:tc>
        <w:tc>
          <w:tcPr>
            <w:tcW w:w="1312" w:type="dxa"/>
          </w:tcPr>
          <w:p w14:paraId="5BE146B8" w14:textId="77777777" w:rsidR="00123484" w:rsidRPr="0060578E" w:rsidRDefault="00123484" w:rsidP="00CF3577">
            <w:pPr>
              <w:spacing w:beforeLines="50" w:before="120"/>
            </w:pPr>
            <w:r w:rsidRPr="0060578E">
              <w:t>High</w:t>
            </w:r>
          </w:p>
        </w:tc>
        <w:tc>
          <w:tcPr>
            <w:tcW w:w="3668" w:type="dxa"/>
          </w:tcPr>
          <w:p w14:paraId="6C62DDFA" w14:textId="77777777" w:rsidR="00123484" w:rsidRPr="0060578E" w:rsidRDefault="00123484" w:rsidP="00CF3577">
            <w:pPr>
              <w:spacing w:beforeLines="50" w:before="120"/>
            </w:pPr>
            <w:r w:rsidRPr="0060578E">
              <w:t>FR2 to FR2 intra-frequency temporal domain case A</w:t>
            </w:r>
          </w:p>
        </w:tc>
        <w:tc>
          <w:tcPr>
            <w:tcW w:w="1272" w:type="dxa"/>
          </w:tcPr>
          <w:p w14:paraId="27EAB78F" w14:textId="77777777" w:rsidR="00123484" w:rsidRPr="0060578E" w:rsidRDefault="00123484" w:rsidP="00CF3577">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7290A69D" w14:textId="77777777" w:rsidR="00123484" w:rsidRPr="0060578E" w:rsidRDefault="00123484" w:rsidP="00CF3577">
            <w:pPr>
              <w:spacing w:beforeLines="50" w:before="120"/>
            </w:pPr>
            <w:r w:rsidRPr="0060578E">
              <w:t>Intra-cell</w:t>
            </w:r>
          </w:p>
        </w:tc>
      </w:tr>
      <w:bookmarkEnd w:id="2"/>
    </w:tbl>
    <w:p w14:paraId="789718BC" w14:textId="77777777" w:rsidR="00123484" w:rsidRPr="0060578E" w:rsidRDefault="00123484" w:rsidP="00123484">
      <w:pPr>
        <w:spacing w:after="0"/>
        <w:rPr>
          <w:rFonts w:eastAsiaTheme="minorEastAsia"/>
        </w:rPr>
      </w:pPr>
    </w:p>
    <w:p w14:paraId="7D040ECC" w14:textId="3E1250E7" w:rsidR="00C80E05" w:rsidRDefault="00123484" w:rsidP="00525FEB">
      <w:pPr>
        <w:spacing w:after="0"/>
        <w:rPr>
          <w:rFonts w:eastAsiaTheme="minorEastAsia"/>
        </w:rPr>
      </w:pPr>
      <w:r>
        <w:rPr>
          <w:rFonts w:eastAsiaTheme="minorEastAsia"/>
        </w:rPr>
        <w:t xml:space="preserve">As a next step, RAN2 decided to verify how AIML models can be utilized to predict mobility events, </w:t>
      </w:r>
      <w:r w:rsidR="00056ED0">
        <w:rPr>
          <w:rFonts w:eastAsiaTheme="minorEastAsia"/>
        </w:rPr>
        <w:t>taking A3 event as an example</w:t>
      </w:r>
      <w:r>
        <w:rPr>
          <w:rFonts w:eastAsiaTheme="minorEastAsia"/>
        </w:rPr>
        <w:t xml:space="preserve">. RAN2 also decided to prioritize so called “indirect method” where the AIML model is used to predict signal level (e.g. RSRP/SINR) while the occurrence of the measurement event is determined based on such predicted signal level, without further involvement of the AIML model. This will allow to verify how the inaccuracies related with the measurement predictions translate into accuracy of mobility event predictions and </w:t>
      </w:r>
      <w:r w:rsidR="00FD1276">
        <w:rPr>
          <w:rFonts w:eastAsiaTheme="minorEastAsia"/>
        </w:rPr>
        <w:t>mobility performance metrics such as handover failure rate and number of handovers.</w:t>
      </w:r>
      <w:r w:rsidR="00A319CA">
        <w:rPr>
          <w:rFonts w:eastAsiaTheme="minorEastAsia"/>
        </w:rPr>
        <w:t xml:space="preserve"> </w:t>
      </w:r>
    </w:p>
    <w:p w14:paraId="5FB6759F" w14:textId="6B3240D9" w:rsidR="00056ED0" w:rsidRDefault="00056ED0" w:rsidP="00056ED0">
      <w:pPr>
        <w:spacing w:before="240" w:after="0"/>
        <w:rPr>
          <w:rFonts w:eastAsiaTheme="minorEastAsia"/>
        </w:rPr>
      </w:pPr>
      <w:r>
        <w:rPr>
          <w:rFonts w:eastAsiaTheme="minorEastAsia"/>
        </w:rPr>
        <w:t>We have provided a first set of measurement results for measurement event prediction and its impact on system level mobility KPIs in [1]</w:t>
      </w:r>
      <w:r w:rsidR="003D450C">
        <w:rPr>
          <w:rFonts w:eastAsiaTheme="minorEastAsia"/>
        </w:rPr>
        <w:t>. During RAN2#129 meeting, RAN2 discussed the results brought by various companies and following conclusions were drawn:</w:t>
      </w:r>
    </w:p>
    <w:tbl>
      <w:tblPr>
        <w:tblStyle w:val="TableGrid"/>
        <w:tblW w:w="0" w:type="auto"/>
        <w:tblLook w:val="04A0" w:firstRow="1" w:lastRow="0" w:firstColumn="1" w:lastColumn="0" w:noHBand="0" w:noVBand="1"/>
      </w:tblPr>
      <w:tblGrid>
        <w:gridCol w:w="9629"/>
      </w:tblGrid>
      <w:tr w:rsidR="003D450C" w14:paraId="1D5FCED1" w14:textId="77777777" w:rsidTr="003D450C">
        <w:tc>
          <w:tcPr>
            <w:tcW w:w="9629" w:type="dxa"/>
          </w:tcPr>
          <w:p w14:paraId="6EF4C82B" w14:textId="43D31C74" w:rsidR="003D450C" w:rsidRPr="003D450C" w:rsidRDefault="003D450C" w:rsidP="003D450C">
            <w:pPr>
              <w:overflowPunct/>
              <w:autoSpaceDE/>
              <w:autoSpaceDN/>
              <w:adjustRightInd/>
              <w:spacing w:after="0"/>
              <w:textAlignment w:val="auto"/>
              <w:rPr>
                <w:b/>
                <w:sz w:val="22"/>
                <w:szCs w:val="22"/>
                <w:lang w:val="en-US" w:eastAsia="en-US"/>
              </w:rPr>
            </w:pPr>
            <w:r w:rsidRPr="003D450C">
              <w:rPr>
                <w:b/>
                <w:sz w:val="22"/>
                <w:szCs w:val="22"/>
                <w:lang w:val="en-US" w:eastAsia="en-US"/>
              </w:rPr>
              <w:t>For measurement event prediction case A in FR2:</w:t>
            </w:r>
          </w:p>
          <w:p w14:paraId="3FB00C1D" w14:textId="77777777" w:rsidR="003D450C" w:rsidRPr="003D450C" w:rsidRDefault="003D450C" w:rsidP="003D450C">
            <w:pPr>
              <w:numPr>
                <w:ilvl w:val="0"/>
                <w:numId w:val="15"/>
              </w:numPr>
              <w:overflowPunct/>
              <w:autoSpaceDE/>
              <w:autoSpaceDN/>
              <w:adjustRightInd/>
              <w:spacing w:after="0"/>
              <w:ind w:left="540"/>
              <w:textAlignment w:val="center"/>
              <w:rPr>
                <w:sz w:val="24"/>
                <w:szCs w:val="24"/>
                <w:lang w:val="en-US" w:eastAsia="en-US"/>
              </w:rPr>
            </w:pPr>
            <w:r w:rsidRPr="003D450C">
              <w:rPr>
                <w:sz w:val="22"/>
                <w:szCs w:val="22"/>
                <w:lang w:val="en-US" w:eastAsia="en-US"/>
              </w:rPr>
              <w:t xml:space="preserve">Most of the results show that the F1 score for prediction of measurement event is very good.   </w:t>
            </w:r>
          </w:p>
          <w:p w14:paraId="5FCD7CFD" w14:textId="77777777" w:rsidR="003D450C" w:rsidRPr="003D450C" w:rsidRDefault="003D450C" w:rsidP="003D450C">
            <w:pPr>
              <w:numPr>
                <w:ilvl w:val="0"/>
                <w:numId w:val="15"/>
              </w:numPr>
              <w:overflowPunct/>
              <w:autoSpaceDE/>
              <w:autoSpaceDN/>
              <w:adjustRightInd/>
              <w:spacing w:after="0"/>
              <w:ind w:left="540"/>
              <w:textAlignment w:val="center"/>
              <w:rPr>
                <w:sz w:val="24"/>
                <w:szCs w:val="24"/>
                <w:lang w:val="en-US" w:eastAsia="en-US"/>
              </w:rPr>
            </w:pPr>
            <w:r w:rsidRPr="003D450C">
              <w:rPr>
                <w:sz w:val="22"/>
                <w:szCs w:val="22"/>
                <w:lang w:val="en-US" w:eastAsia="en-US"/>
              </w:rPr>
              <w:t xml:space="preserve">For handover decision option 3 and 2 AI/ML performs better than baseline (legacy) in terms of HO failure rate.  </w:t>
            </w:r>
          </w:p>
          <w:p w14:paraId="6940E88C" w14:textId="77777777" w:rsidR="003D450C" w:rsidRPr="003D450C" w:rsidRDefault="003D450C" w:rsidP="003D450C">
            <w:pPr>
              <w:overflowPunct/>
              <w:autoSpaceDE/>
              <w:autoSpaceDN/>
              <w:adjustRightInd/>
              <w:spacing w:after="0"/>
              <w:textAlignment w:val="auto"/>
              <w:rPr>
                <w:sz w:val="22"/>
                <w:szCs w:val="22"/>
                <w:lang w:val="en-US" w:eastAsia="en-US"/>
              </w:rPr>
            </w:pPr>
            <w:r w:rsidRPr="003D450C">
              <w:rPr>
                <w:sz w:val="22"/>
                <w:szCs w:val="22"/>
                <w:lang w:val="en-US" w:eastAsia="en-US"/>
              </w:rPr>
              <w:t> </w:t>
            </w:r>
          </w:p>
          <w:p w14:paraId="7A263F9D" w14:textId="70588496" w:rsidR="003D450C" w:rsidRPr="003D450C" w:rsidRDefault="003D450C" w:rsidP="003D450C">
            <w:pPr>
              <w:overflowPunct/>
              <w:autoSpaceDE/>
              <w:autoSpaceDN/>
              <w:adjustRightInd/>
              <w:spacing w:after="0"/>
              <w:textAlignment w:val="auto"/>
              <w:rPr>
                <w:b/>
                <w:sz w:val="22"/>
                <w:szCs w:val="22"/>
                <w:lang w:val="en-US" w:eastAsia="en-US"/>
              </w:rPr>
            </w:pPr>
            <w:r w:rsidRPr="003D450C">
              <w:rPr>
                <w:b/>
                <w:sz w:val="22"/>
                <w:szCs w:val="22"/>
                <w:lang w:val="en-US" w:eastAsia="en-US"/>
              </w:rPr>
              <w:t>For measurement event prediction case B in FR1:</w:t>
            </w:r>
          </w:p>
          <w:p w14:paraId="2863546F" w14:textId="77777777" w:rsidR="003D450C" w:rsidRPr="003D450C" w:rsidRDefault="003D450C" w:rsidP="003D450C">
            <w:pPr>
              <w:numPr>
                <w:ilvl w:val="0"/>
                <w:numId w:val="16"/>
              </w:numPr>
              <w:overflowPunct/>
              <w:autoSpaceDE/>
              <w:autoSpaceDN/>
              <w:adjustRightInd/>
              <w:spacing w:after="0"/>
              <w:ind w:left="540"/>
              <w:textAlignment w:val="center"/>
              <w:rPr>
                <w:sz w:val="24"/>
                <w:szCs w:val="24"/>
                <w:lang w:val="en-US" w:eastAsia="en-US"/>
              </w:rPr>
            </w:pPr>
            <w:r w:rsidRPr="003D450C">
              <w:rPr>
                <w:sz w:val="22"/>
                <w:szCs w:val="22"/>
                <w:lang w:val="en-US" w:eastAsia="en-US"/>
              </w:rPr>
              <w:t xml:space="preserve">Measurement event case B can have very good F1 score depending on filtering approach/PW </w:t>
            </w:r>
          </w:p>
          <w:p w14:paraId="05AAFD78" w14:textId="77777777" w:rsidR="003D450C" w:rsidRPr="003D450C" w:rsidRDefault="003D450C" w:rsidP="003D450C">
            <w:pPr>
              <w:numPr>
                <w:ilvl w:val="0"/>
                <w:numId w:val="16"/>
              </w:numPr>
              <w:overflowPunct/>
              <w:autoSpaceDE/>
              <w:autoSpaceDN/>
              <w:adjustRightInd/>
              <w:spacing w:after="0"/>
              <w:ind w:left="540"/>
              <w:textAlignment w:val="center"/>
              <w:rPr>
                <w:sz w:val="24"/>
                <w:szCs w:val="24"/>
                <w:lang w:val="en-US" w:eastAsia="en-US"/>
              </w:rPr>
            </w:pPr>
            <w:r w:rsidRPr="003D450C">
              <w:rPr>
                <w:sz w:val="22"/>
                <w:szCs w:val="22"/>
                <w:lang w:val="en-US" w:eastAsia="en-US"/>
              </w:rPr>
              <w:t>F1 score is good for the PW window for case B (i.e. low PW)</w:t>
            </w:r>
          </w:p>
          <w:p w14:paraId="0BCAA197" w14:textId="77777777" w:rsidR="003D450C" w:rsidRPr="003D450C" w:rsidRDefault="003D450C" w:rsidP="003D450C">
            <w:pPr>
              <w:numPr>
                <w:ilvl w:val="0"/>
                <w:numId w:val="16"/>
              </w:numPr>
              <w:overflowPunct/>
              <w:autoSpaceDE/>
              <w:autoSpaceDN/>
              <w:adjustRightInd/>
              <w:spacing w:after="0"/>
              <w:ind w:left="540"/>
              <w:textAlignment w:val="center"/>
              <w:rPr>
                <w:sz w:val="24"/>
                <w:szCs w:val="24"/>
                <w:lang w:val="en-US" w:eastAsia="en-US"/>
              </w:rPr>
            </w:pPr>
            <w:r w:rsidRPr="003D450C">
              <w:rPr>
                <w:sz w:val="22"/>
                <w:szCs w:val="22"/>
                <w:lang w:val="en-US" w:eastAsia="en-US"/>
              </w:rPr>
              <w:t>F1 score decreases with an increasing MRRT value</w:t>
            </w:r>
          </w:p>
          <w:p w14:paraId="77A5CBC9" w14:textId="77777777" w:rsidR="003D450C" w:rsidRPr="003D450C" w:rsidRDefault="003D450C" w:rsidP="003D450C">
            <w:pPr>
              <w:numPr>
                <w:ilvl w:val="0"/>
                <w:numId w:val="16"/>
              </w:numPr>
              <w:overflowPunct/>
              <w:autoSpaceDE/>
              <w:autoSpaceDN/>
              <w:adjustRightInd/>
              <w:spacing w:after="0"/>
              <w:ind w:left="540"/>
              <w:textAlignment w:val="center"/>
              <w:rPr>
                <w:sz w:val="24"/>
                <w:szCs w:val="24"/>
                <w:lang w:val="en-US" w:eastAsia="en-US"/>
              </w:rPr>
            </w:pPr>
            <w:r w:rsidRPr="003D450C">
              <w:rPr>
                <w:sz w:val="22"/>
                <w:szCs w:val="22"/>
                <w:lang w:val="en-US" w:eastAsia="en-US"/>
              </w:rPr>
              <w:t>We will focus on finding cases that bring benefits to the system rather than trying to compare</w:t>
            </w:r>
          </w:p>
          <w:p w14:paraId="68C309E7" w14:textId="05C87FFC" w:rsidR="003D450C" w:rsidRPr="003D450C" w:rsidRDefault="003D450C" w:rsidP="003D450C">
            <w:pPr>
              <w:numPr>
                <w:ilvl w:val="0"/>
                <w:numId w:val="16"/>
              </w:numPr>
              <w:overflowPunct/>
              <w:autoSpaceDE/>
              <w:autoSpaceDN/>
              <w:adjustRightInd/>
              <w:spacing w:after="0"/>
              <w:ind w:left="540"/>
              <w:textAlignment w:val="center"/>
              <w:rPr>
                <w:sz w:val="24"/>
                <w:szCs w:val="24"/>
                <w:lang w:val="en-US" w:eastAsia="en-US"/>
              </w:rPr>
            </w:pPr>
            <w:r w:rsidRPr="003D450C">
              <w:rPr>
                <w:sz w:val="22"/>
                <w:szCs w:val="22"/>
                <w:lang w:val="en-US" w:eastAsia="en-US"/>
              </w:rPr>
              <w:t>With indirect measurement event prediction based on temporal domain Case B (MRRT=50%), the AI-based HO has a minor/no system-level performance (i.e., HOF rate and HO number) decrease compared with the legacy HO mechanism.</w:t>
            </w:r>
          </w:p>
        </w:tc>
      </w:tr>
    </w:tbl>
    <w:p w14:paraId="01EEB681" w14:textId="77777777" w:rsidR="003D450C" w:rsidRDefault="003D450C" w:rsidP="00056ED0">
      <w:pPr>
        <w:spacing w:before="240" w:after="0"/>
        <w:rPr>
          <w:rFonts w:eastAsiaTheme="minorEastAsia"/>
        </w:rPr>
      </w:pPr>
    </w:p>
    <w:p w14:paraId="560937AB" w14:textId="0802826A" w:rsidR="00200AD8" w:rsidRDefault="001967E4" w:rsidP="00525FEB">
      <w:pPr>
        <w:spacing w:after="0"/>
        <w:rPr>
          <w:rFonts w:eastAsiaTheme="minorEastAsia"/>
        </w:rPr>
      </w:pPr>
      <w:r w:rsidRPr="001967E4">
        <w:rPr>
          <w:rFonts w:eastAsiaTheme="minorEastAsia"/>
        </w:rPr>
        <w:t xml:space="preserve">However, it was noticed that </w:t>
      </w:r>
      <w:r>
        <w:rPr>
          <w:rFonts w:eastAsiaTheme="minorEastAsia"/>
        </w:rPr>
        <w:t xml:space="preserve">companies may have applied </w:t>
      </w:r>
      <w:r w:rsidR="00D44FF7">
        <w:rPr>
          <w:rFonts w:eastAsiaTheme="minorEastAsia"/>
        </w:rPr>
        <w:t>different methods for F1 score calculation leading to different companies obtaining distinct results. Hence, further discussion took place on the alignment of this method which resulted in the following agreements being made, based on the summary in [2]:</w:t>
      </w:r>
    </w:p>
    <w:tbl>
      <w:tblPr>
        <w:tblStyle w:val="TableGrid"/>
        <w:tblW w:w="0" w:type="auto"/>
        <w:tblLook w:val="04A0" w:firstRow="1" w:lastRow="0" w:firstColumn="1" w:lastColumn="0" w:noHBand="0" w:noVBand="1"/>
      </w:tblPr>
      <w:tblGrid>
        <w:gridCol w:w="9629"/>
      </w:tblGrid>
      <w:tr w:rsidR="00D44FF7" w14:paraId="61BF7DB3" w14:textId="77777777" w:rsidTr="00D44FF7">
        <w:tc>
          <w:tcPr>
            <w:tcW w:w="9629" w:type="dxa"/>
          </w:tcPr>
          <w:p w14:paraId="5C0874E1" w14:textId="77777777" w:rsidR="00D44FF7" w:rsidRPr="00D44FF7" w:rsidRDefault="00D44FF7" w:rsidP="00D44FF7">
            <w:pPr>
              <w:spacing w:after="0"/>
              <w:rPr>
                <w:color w:val="000000"/>
                <w:sz w:val="22"/>
                <w:szCs w:val="22"/>
                <w:lang w:val="en-US"/>
              </w:rPr>
            </w:pPr>
            <w:r w:rsidRPr="00D44FF7">
              <w:rPr>
                <w:b/>
                <w:bCs/>
                <w:color w:val="000000"/>
                <w:sz w:val="22"/>
                <w:szCs w:val="22"/>
              </w:rPr>
              <w:t>Agreements</w:t>
            </w:r>
          </w:p>
          <w:p w14:paraId="4B78BE6B" w14:textId="77777777" w:rsidR="00D44FF7" w:rsidRPr="00D44FF7" w:rsidRDefault="00D44FF7" w:rsidP="00D44FF7">
            <w:pPr>
              <w:pStyle w:val="ListParagraph"/>
              <w:numPr>
                <w:ilvl w:val="0"/>
                <w:numId w:val="18"/>
              </w:numPr>
              <w:spacing w:after="100" w:afterAutospacing="1"/>
              <w:ind w:leftChars="0"/>
              <w:jc w:val="both"/>
              <w:rPr>
                <w:color w:val="000000"/>
                <w:sz w:val="22"/>
                <w:szCs w:val="22"/>
              </w:rPr>
            </w:pPr>
            <w:r w:rsidRPr="00D44FF7">
              <w:rPr>
                <w:b/>
                <w:bCs/>
                <w:color w:val="000000"/>
                <w:sz w:val="22"/>
                <w:szCs w:val="22"/>
              </w:rPr>
              <w:t>For evaluation purpose, it is assumed PW length = TTT length =320ms</w:t>
            </w:r>
          </w:p>
          <w:p w14:paraId="722DF12D" w14:textId="77777777" w:rsidR="00D44FF7" w:rsidRPr="00D44FF7" w:rsidRDefault="00D44FF7" w:rsidP="00D44FF7">
            <w:pPr>
              <w:pStyle w:val="ListParagraph"/>
              <w:numPr>
                <w:ilvl w:val="0"/>
                <w:numId w:val="18"/>
              </w:numPr>
              <w:spacing w:after="100" w:afterAutospacing="1"/>
              <w:ind w:leftChars="0"/>
              <w:jc w:val="both"/>
              <w:rPr>
                <w:color w:val="000000"/>
                <w:sz w:val="22"/>
                <w:szCs w:val="22"/>
              </w:rPr>
            </w:pPr>
            <w:r w:rsidRPr="00D44FF7">
              <w:rPr>
                <w:b/>
                <w:bCs/>
                <w:color w:val="000000"/>
                <w:sz w:val="22"/>
                <w:szCs w:val="22"/>
              </w:rPr>
              <w:t>For evaluation purpose, Option 2 is agreed i.e. each counter can be updated only one time for related predicted and/or ground truth measurement event.</w:t>
            </w:r>
          </w:p>
          <w:p w14:paraId="428ACBF6" w14:textId="40EEEE9C" w:rsidR="00D44FF7" w:rsidRPr="00D44FF7" w:rsidRDefault="00D44FF7" w:rsidP="00D0578C">
            <w:pPr>
              <w:pStyle w:val="ListParagraph"/>
              <w:numPr>
                <w:ilvl w:val="0"/>
                <w:numId w:val="18"/>
              </w:numPr>
              <w:ind w:leftChars="0"/>
              <w:jc w:val="both"/>
              <w:rPr>
                <w:color w:val="000000"/>
                <w:sz w:val="22"/>
                <w:szCs w:val="22"/>
              </w:rPr>
            </w:pPr>
            <w:r w:rsidRPr="00D44FF7">
              <w:rPr>
                <w:b/>
                <w:bCs/>
                <w:color w:val="000000"/>
                <w:sz w:val="22"/>
                <w:szCs w:val="22"/>
              </w:rPr>
              <w:t>To introduce “Total number of HOF per UE per second” as SLS metric</w:t>
            </w:r>
          </w:p>
        </w:tc>
      </w:tr>
    </w:tbl>
    <w:p w14:paraId="6351DD52" w14:textId="77777777" w:rsidR="00D44FF7" w:rsidRPr="001967E4" w:rsidRDefault="00D44FF7" w:rsidP="00525FEB">
      <w:pPr>
        <w:spacing w:after="0"/>
        <w:rPr>
          <w:rFonts w:eastAsiaTheme="minorEastAsia"/>
        </w:rPr>
      </w:pPr>
    </w:p>
    <w:p w14:paraId="73BF284A" w14:textId="2C938318" w:rsidR="00693CA6" w:rsidRDefault="00693CA6" w:rsidP="00525FEB">
      <w:pPr>
        <w:spacing w:after="0"/>
        <w:rPr>
          <w:rFonts w:eastAsiaTheme="minorEastAsia"/>
        </w:rPr>
      </w:pPr>
      <w:r>
        <w:rPr>
          <w:rFonts w:eastAsiaTheme="minorEastAsia"/>
        </w:rPr>
        <w:t xml:space="preserve">In addition, in the informal offline discussion between companies involved in this work, it was proposed by the SI rapporteur to also report </w:t>
      </w:r>
      <w:r w:rsidRPr="00693CA6">
        <w:rPr>
          <w:rFonts w:eastAsiaTheme="minorEastAsia"/>
        </w:rPr>
        <w:t xml:space="preserve">one more metric for measurement event prediction for temporal domain case A i.e. </w:t>
      </w:r>
      <w:r w:rsidRPr="009960A5">
        <w:rPr>
          <w:rFonts w:eastAsiaTheme="minorEastAsia"/>
          <w:b/>
        </w:rPr>
        <w:t>the timing distance between the 1</w:t>
      </w:r>
      <w:r w:rsidRPr="009960A5">
        <w:rPr>
          <w:rFonts w:eastAsiaTheme="minorEastAsia"/>
          <w:b/>
          <w:vertAlign w:val="superscript"/>
        </w:rPr>
        <w:t>st</w:t>
      </w:r>
      <w:r w:rsidRPr="009960A5">
        <w:rPr>
          <w:rFonts w:eastAsiaTheme="minorEastAsia"/>
          <w:b/>
        </w:rPr>
        <w:t xml:space="preserve"> time instance of positive true prediction and corresponding ground truth label</w:t>
      </w:r>
      <w:r w:rsidRPr="00693CA6">
        <w:rPr>
          <w:rFonts w:eastAsiaTheme="minorEastAsia"/>
        </w:rPr>
        <w:t>.</w:t>
      </w:r>
      <w:r>
        <w:rPr>
          <w:rFonts w:eastAsiaTheme="minorEastAsia"/>
        </w:rPr>
        <w:t xml:space="preserve"> This is to understand how far in advance the model was able to </w:t>
      </w:r>
      <w:r w:rsidR="008A6D10">
        <w:rPr>
          <w:rFonts w:eastAsiaTheme="minorEastAsia"/>
        </w:rPr>
        <w:t>truly predict the event to happen as it seems in some methods also the events predicted with a window&lt;PW length were counted as true event prediction which enhances the F1 score, but does not truly reflect the purpose of agreeing to use an aligned PW length.</w:t>
      </w:r>
    </w:p>
    <w:p w14:paraId="60ECD452" w14:textId="77777777" w:rsidR="00693CA6" w:rsidRDefault="00693CA6" w:rsidP="00525FEB">
      <w:pPr>
        <w:spacing w:after="0"/>
        <w:rPr>
          <w:rFonts w:eastAsiaTheme="minorEastAsia"/>
        </w:rPr>
      </w:pPr>
    </w:p>
    <w:p w14:paraId="3531626C" w14:textId="03D18663" w:rsidR="00FE2BA0" w:rsidRPr="006F5AD1" w:rsidRDefault="00A319CA" w:rsidP="00525FEB">
      <w:pPr>
        <w:spacing w:after="0"/>
        <w:rPr>
          <w:rFonts w:eastAsiaTheme="minorEastAsia"/>
        </w:rPr>
      </w:pPr>
      <w:r w:rsidRPr="006F5AD1">
        <w:rPr>
          <w:rFonts w:eastAsiaTheme="minorEastAsia"/>
        </w:rPr>
        <w:t xml:space="preserve">In this paper, we provide </w:t>
      </w:r>
      <w:r w:rsidR="006F5AD1">
        <w:rPr>
          <w:rFonts w:eastAsiaTheme="minorEastAsia"/>
        </w:rPr>
        <w:t xml:space="preserve">updated results </w:t>
      </w:r>
      <w:r w:rsidRPr="006F5AD1">
        <w:rPr>
          <w:rFonts w:eastAsiaTheme="minorEastAsia"/>
        </w:rPr>
        <w:t xml:space="preserve">related to </w:t>
      </w:r>
      <w:r w:rsidR="002A7A2C" w:rsidRPr="006F5AD1">
        <w:rPr>
          <w:rFonts w:eastAsiaTheme="minorEastAsia"/>
        </w:rPr>
        <w:t xml:space="preserve">Case 4 from </w:t>
      </w:r>
      <w:r w:rsidR="00C15666" w:rsidRPr="006F5AD1">
        <w:rPr>
          <w:rFonts w:eastAsiaTheme="minorEastAsia"/>
        </w:rPr>
        <w:t>the table above</w:t>
      </w:r>
      <w:r w:rsidR="00643AEA" w:rsidRPr="006F5AD1">
        <w:rPr>
          <w:rFonts w:eastAsiaTheme="minorEastAsia"/>
        </w:rPr>
        <w:t xml:space="preserve">, </w:t>
      </w:r>
      <w:r w:rsidR="008A6D10">
        <w:rPr>
          <w:rFonts w:eastAsiaTheme="minorEastAsia"/>
        </w:rPr>
        <w:t xml:space="preserve">considering the latest agreements as mentioned above and providing an information about the additional HO metrics as agreed by RAN2. </w:t>
      </w:r>
    </w:p>
    <w:p w14:paraId="28A63E0F" w14:textId="5FB320CC" w:rsidR="004533F4" w:rsidRPr="0060578E" w:rsidRDefault="00827357" w:rsidP="00686950">
      <w:pPr>
        <w:pStyle w:val="Heading1"/>
      </w:pPr>
      <w:r w:rsidRPr="0060578E">
        <w:t xml:space="preserve">2   </w:t>
      </w:r>
      <w:r w:rsidR="007566C9">
        <w:t>Measurement event</w:t>
      </w:r>
      <w:r w:rsidR="00617A22">
        <w:t xml:space="preserve"> prediction</w:t>
      </w:r>
      <w:r w:rsidR="00CD1196">
        <w:t xml:space="preserve"> accuracy</w:t>
      </w:r>
    </w:p>
    <w:p w14:paraId="12EA735B" w14:textId="4830A091" w:rsidR="00EB120F" w:rsidRDefault="007F28E1" w:rsidP="00F165AC">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A44356">
        <w:rPr>
          <w:rFonts w:eastAsiaTheme="minorEastAsia"/>
          <w:sz w:val="28"/>
          <w:szCs w:val="22"/>
        </w:rPr>
        <w:t>Simulation assumptions</w:t>
      </w:r>
    </w:p>
    <w:p w14:paraId="7309BA7B" w14:textId="5FC45621" w:rsidR="00B71153" w:rsidRDefault="00A44356" w:rsidP="00F165AC">
      <w:r>
        <w:t xml:space="preserve">Simulation assumptions </w:t>
      </w:r>
      <w:r w:rsidR="005E145F">
        <w:t xml:space="preserve">and evaluation methodology </w:t>
      </w:r>
      <w:r w:rsidR="00CE1AF4">
        <w:t>agreed previously for RRM measurement prediction were reused, as captured in [</w:t>
      </w:r>
      <w:r w:rsidR="00693CA6">
        <w:t>3</w:t>
      </w:r>
      <w:r w:rsidR="00CE1AF4">
        <w:t>]</w:t>
      </w:r>
      <w:r w:rsidR="005E145F">
        <w:t>. Furthermore, we used the following settings specifically for measurement event prediction simulations purpose (also aligned with RAN2 agreements)</w:t>
      </w:r>
      <w:r w:rsidR="00495690">
        <w:t>.</w:t>
      </w:r>
    </w:p>
    <w:p w14:paraId="2F81D3F1" w14:textId="500D34EC" w:rsidR="00986E3B" w:rsidRPr="00495690" w:rsidRDefault="00986E3B" w:rsidP="00986E3B">
      <w:pPr>
        <w:rPr>
          <w:b/>
        </w:rPr>
      </w:pPr>
      <w:r w:rsidRPr="00495690">
        <w:rPr>
          <w:b/>
        </w:rPr>
        <w:t xml:space="preserve">Table </w:t>
      </w:r>
      <w:r>
        <w:rPr>
          <w:b/>
        </w:rPr>
        <w:t>2</w:t>
      </w:r>
      <w:r w:rsidRPr="00495690">
        <w:rPr>
          <w:b/>
        </w:rPr>
        <w:t xml:space="preserve">. </w:t>
      </w:r>
      <w:r>
        <w:rPr>
          <w:b/>
        </w:rPr>
        <w:t xml:space="preserve">Simulation assumptions for </w:t>
      </w:r>
      <w:r w:rsidRPr="00986E3B">
        <w:rPr>
          <w:b/>
        </w:rPr>
        <w:t xml:space="preserve">FR2 to FR2 intra-frequency temporal domain case A </w:t>
      </w:r>
      <w:r>
        <w:rPr>
          <w:b/>
        </w:rPr>
        <w:t>(Case 4)</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81"/>
        <w:gridCol w:w="1813"/>
        <w:gridCol w:w="2700"/>
      </w:tblGrid>
      <w:tr w:rsidR="00986E3B" w:rsidRPr="00A44356" w14:paraId="72420965"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C94BA"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Parameter</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264A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B</w:t>
            </w:r>
            <w:r w:rsidRPr="00A44356">
              <w:rPr>
                <w:rFonts w:ascii="Arial" w:hAnsi="Arial" w:cs="Arial"/>
                <w:lang w:eastAsia="en-US"/>
              </w:rPr>
              <w:t>aseline value</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D617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Additional values</w:t>
            </w:r>
          </w:p>
        </w:tc>
      </w:tr>
      <w:tr w:rsidR="00986E3B" w:rsidRPr="00A44356" w14:paraId="36A0B850"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53BC"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A3 event offset (</w:t>
            </w:r>
            <w:proofErr w:type="spellStart"/>
            <w:r w:rsidRPr="00A44356">
              <w:rPr>
                <w:rFonts w:ascii="Arial" w:hAnsi="Arial" w:cs="Arial"/>
                <w:lang w:eastAsia="en-US"/>
              </w:rPr>
              <w:t>db</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C50C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2</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E4ABD4"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2C542A56"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B95C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TTT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EB0E9"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320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5D9D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71DD34DA"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8F56B"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UE speed (km/h)</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BCAFD" w14:textId="643A7BCF" w:rsidR="00986E3B" w:rsidRPr="00A44356" w:rsidRDefault="00862A55"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90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6F977" w14:textId="44A01683"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60</w:t>
            </w:r>
            <w:r>
              <w:rPr>
                <w:rFonts w:ascii="Arial" w:hAnsi="Arial" w:cs="Arial"/>
                <w:lang w:eastAsia="en-US"/>
              </w:rPr>
              <w:t xml:space="preserve">, </w:t>
            </w:r>
            <w:r w:rsidR="00862A55">
              <w:rPr>
                <w:rFonts w:ascii="Arial" w:hAnsi="Arial" w:cs="Arial"/>
                <w:lang w:eastAsia="en-US"/>
              </w:rPr>
              <w:t>120</w:t>
            </w:r>
          </w:p>
        </w:tc>
      </w:tr>
      <w:tr w:rsidR="00986E3B" w:rsidRPr="00A44356" w14:paraId="73EB45D4"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417B3E"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OW length (</w:t>
            </w:r>
            <w:proofErr w:type="spellStart"/>
            <w:r w:rsidRPr="00A44356">
              <w:rPr>
                <w:rFonts w:ascii="Arial" w:hAnsi="Arial" w:cs="Arial"/>
                <w:lang w:eastAsia="en-US"/>
              </w:rPr>
              <w:t>ms</w:t>
            </w:r>
            <w:proofErr w:type="spellEnd"/>
            <w:r>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1D0AA" w14:textId="78390A38"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400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EED1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273BE5CE"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E2BD1E"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PW length (</w:t>
            </w:r>
            <w:proofErr w:type="spellStart"/>
            <w:r w:rsidRPr="00A44356">
              <w:rPr>
                <w:rFonts w:ascii="Arial" w:hAnsi="Arial" w:cs="Arial"/>
                <w:lang w:eastAsia="en-US"/>
              </w:rPr>
              <w:t>ms</w:t>
            </w:r>
            <w:proofErr w:type="spellEnd"/>
            <w:r>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DFF57" w14:textId="4C46E864"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400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4236C5" w14:textId="6784FBA2"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80</w:t>
            </w:r>
          </w:p>
        </w:tc>
      </w:tr>
      <w:tr w:rsidR="00986E3B" w:rsidRPr="00A44356" w14:paraId="445A075F"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BD931"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Max ETD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7FFF8"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80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23BEC3"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3CCFBC63"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236B3"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L1 filtering</w:t>
            </w:r>
          </w:p>
        </w:tc>
        <w:tc>
          <w:tcPr>
            <w:tcW w:w="451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596DA1"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Sliding window</w:t>
            </w:r>
          </w:p>
        </w:tc>
      </w:tr>
    </w:tbl>
    <w:p w14:paraId="45592DD8" w14:textId="77777777" w:rsidR="00986E3B" w:rsidRDefault="00986E3B" w:rsidP="00F165AC"/>
    <w:p w14:paraId="5FE49F54" w14:textId="6BF3E50F" w:rsidR="00BC193D" w:rsidRPr="00BC193D" w:rsidRDefault="00B71153" w:rsidP="00B71153">
      <w:pPr>
        <w:rPr>
          <w:rFonts w:eastAsiaTheme="minorEastAsia"/>
          <w:b/>
          <w:lang w:val="en-US"/>
        </w:rPr>
      </w:pPr>
      <w:r>
        <w:t xml:space="preserve">Additional information about the simulation setup, e.g. AIML model details, can be found in the </w:t>
      </w:r>
      <w:r w:rsidR="00B773B3">
        <w:t>Annex</w:t>
      </w:r>
      <w:r w:rsidR="004C240B">
        <w:t xml:space="preserve"> A</w:t>
      </w:r>
      <w:r w:rsidR="00B773B3">
        <w:t xml:space="preserve"> and in the </w:t>
      </w:r>
      <w:r>
        <w:t xml:space="preserve">excel sheet attached to this </w:t>
      </w:r>
      <w:proofErr w:type="spellStart"/>
      <w:r>
        <w:t>Tdoc</w:t>
      </w:r>
      <w:proofErr w:type="spellEnd"/>
      <w:r>
        <w:t>.</w:t>
      </w:r>
    </w:p>
    <w:p w14:paraId="6F4DF169" w14:textId="28575662" w:rsidR="001053CD" w:rsidRDefault="0015614D" w:rsidP="00466812">
      <w:pPr>
        <w:pStyle w:val="Heading2"/>
      </w:pPr>
      <w:r w:rsidRPr="0060578E">
        <w:rPr>
          <w:rFonts w:eastAsiaTheme="minorEastAsia"/>
        </w:rPr>
        <w:t>2.</w:t>
      </w:r>
      <w:r w:rsidR="00C35485">
        <w:rPr>
          <w:rFonts w:eastAsiaTheme="minorEastAsia"/>
        </w:rPr>
        <w:t>2</w:t>
      </w:r>
      <w:r w:rsidRPr="0060578E">
        <w:rPr>
          <w:rFonts w:eastAsiaTheme="minorEastAsia"/>
        </w:rPr>
        <w:t xml:space="preserve"> </w:t>
      </w:r>
      <w:r w:rsidR="00C67245">
        <w:rPr>
          <w:rFonts w:eastAsiaTheme="minorEastAsia"/>
        </w:rPr>
        <w:t>Simulation r</w:t>
      </w:r>
      <w:r w:rsidR="00CD1196">
        <w:rPr>
          <w:rFonts w:eastAsiaTheme="minorEastAsia"/>
        </w:rPr>
        <w:t>esults</w:t>
      </w:r>
    </w:p>
    <w:p w14:paraId="25C02087" w14:textId="06739537" w:rsidR="00267B96" w:rsidRDefault="00891FD4" w:rsidP="00B71153">
      <w:pPr>
        <w:spacing w:after="0"/>
      </w:pPr>
      <w:r>
        <w:t>To evaluate the event prediction accuracy, RAN2 decided to use F1score which is defined as follows:</w:t>
      </w:r>
    </w:p>
    <w:p w14:paraId="47736161" w14:textId="211D533B" w:rsidR="00891FD4" w:rsidRPr="00891FD4" w:rsidRDefault="00891FD4" w:rsidP="00A92F62">
      <w:pPr>
        <w:spacing w:after="0"/>
        <w:rPr>
          <w:rFonts w:eastAsiaTheme="minorEastAsia"/>
          <w:lang w:val="en-US"/>
        </w:rPr>
      </w:pPr>
      <w:r w:rsidRPr="00891FD4">
        <w:rPr>
          <w:rFonts w:eastAsiaTheme="minorEastAsia"/>
          <w:lang w:val="en-US"/>
        </w:rPr>
        <w:t>F1 score = 2*Precision*Recall</w:t>
      </w:r>
      <w:proofErr w:type="gramStart"/>
      <w:r w:rsidRPr="00891FD4">
        <w:rPr>
          <w:rFonts w:eastAsiaTheme="minorEastAsia"/>
          <w:lang w:val="en-US"/>
        </w:rPr>
        <w:t>/(</w:t>
      </w:r>
      <w:proofErr w:type="gramEnd"/>
      <w:r w:rsidRPr="00891FD4">
        <w:rPr>
          <w:rFonts w:eastAsiaTheme="minorEastAsia"/>
          <w:lang w:val="en-US"/>
        </w:rPr>
        <w:t>Precision + Recall), where:</w:t>
      </w:r>
    </w:p>
    <w:p w14:paraId="2B5C1747" w14:textId="35B43756" w:rsidR="00891FD4" w:rsidRPr="00A248DD" w:rsidRDefault="00891FD4" w:rsidP="00A92F62">
      <w:pPr>
        <w:pStyle w:val="ListParagraph"/>
        <w:numPr>
          <w:ilvl w:val="0"/>
          <w:numId w:val="11"/>
        </w:numPr>
        <w:ind w:leftChars="0"/>
        <w:rPr>
          <w:rFonts w:eastAsiaTheme="minorEastAsia"/>
          <w:lang w:val="en-US"/>
        </w:rPr>
      </w:pPr>
      <w:r w:rsidRPr="00A248DD">
        <w:rPr>
          <w:rFonts w:eastAsiaTheme="minorEastAsia"/>
          <w:lang w:val="en-US"/>
        </w:rPr>
        <w:t>Precision = n3/(n1+n3)</w:t>
      </w:r>
    </w:p>
    <w:p w14:paraId="1B300280" w14:textId="0A1DF1EA" w:rsidR="00891FD4" w:rsidRDefault="00891FD4" w:rsidP="00A92F62">
      <w:pPr>
        <w:pStyle w:val="ListParagraph"/>
        <w:numPr>
          <w:ilvl w:val="0"/>
          <w:numId w:val="11"/>
        </w:numPr>
        <w:ind w:leftChars="0"/>
        <w:rPr>
          <w:rFonts w:eastAsiaTheme="minorEastAsia"/>
          <w:lang w:val="en-US"/>
        </w:rPr>
      </w:pPr>
      <w:r w:rsidRPr="00A248DD">
        <w:rPr>
          <w:rFonts w:eastAsiaTheme="minorEastAsia"/>
          <w:lang w:val="en-US"/>
        </w:rPr>
        <w:t>Recall =</w:t>
      </w:r>
      <w:r w:rsidR="00A248DD">
        <w:rPr>
          <w:rFonts w:eastAsiaTheme="minorEastAsia"/>
          <w:lang w:val="en-US"/>
        </w:rPr>
        <w:t xml:space="preserve"> </w:t>
      </w:r>
      <w:r w:rsidRPr="00A248DD">
        <w:rPr>
          <w:rFonts w:eastAsiaTheme="minorEastAsia"/>
          <w:lang w:val="en-US"/>
        </w:rPr>
        <w:t>n3/(n2+n3)</w:t>
      </w:r>
    </w:p>
    <w:p w14:paraId="35D41E4A" w14:textId="77777777" w:rsidR="00A248DD" w:rsidRDefault="00A248DD" w:rsidP="00A248DD">
      <w:pPr>
        <w:spacing w:after="0"/>
        <w:rPr>
          <w:rFonts w:eastAsiaTheme="minorEastAsia"/>
          <w:lang w:val="en-US"/>
        </w:rPr>
      </w:pPr>
    </w:p>
    <w:p w14:paraId="2D60F132" w14:textId="60764F7B" w:rsidR="00A248DD" w:rsidRDefault="00A248DD" w:rsidP="00A248DD">
      <w:pPr>
        <w:spacing w:after="0"/>
        <w:rPr>
          <w:rFonts w:eastAsiaTheme="minorEastAsia"/>
          <w:lang w:val="en-US"/>
        </w:rPr>
      </w:pPr>
      <w:r>
        <w:rPr>
          <w:rFonts w:eastAsiaTheme="minorEastAsia"/>
          <w:lang w:val="en-US"/>
        </w:rPr>
        <w:t>Counters n1, n2, n3 are defined as follows:</w:t>
      </w:r>
    </w:p>
    <w:p w14:paraId="47A0C872" w14:textId="34B62CD2" w:rsidR="00A248DD" w:rsidRP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t>Counter n1</w:t>
      </w:r>
      <w:r w:rsidR="00360F13">
        <w:rPr>
          <w:rFonts w:eastAsiaTheme="minorEastAsia"/>
          <w:lang w:val="en-US"/>
        </w:rPr>
        <w:t xml:space="preserve"> </w:t>
      </w:r>
      <w:r w:rsidRPr="00A248DD">
        <w:rPr>
          <w:rFonts w:eastAsiaTheme="minorEastAsia"/>
          <w:lang w:val="en-US"/>
        </w:rPr>
        <w:t>(false event detection): it increases by 1 when no real event occurs around a predicted event with ETD, whose range is [0, maximum ETD]</w:t>
      </w:r>
    </w:p>
    <w:p w14:paraId="366E19ED" w14:textId="091DCDA8" w:rsid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lastRenderedPageBreak/>
        <w:t>Counter n2</w:t>
      </w:r>
      <w:r w:rsidR="00360F13">
        <w:rPr>
          <w:rFonts w:eastAsiaTheme="minorEastAsia"/>
          <w:lang w:val="en-US"/>
        </w:rPr>
        <w:t xml:space="preserve"> </w:t>
      </w:r>
      <w:r w:rsidRPr="00A248DD">
        <w:rPr>
          <w:rFonts w:eastAsiaTheme="minorEastAsia"/>
          <w:lang w:val="en-US"/>
        </w:rPr>
        <w:t>(missed event detection): it increases by 1 when no event is predicted around a real event with ETD, whose range is [0, maximum ETD]</w:t>
      </w:r>
    </w:p>
    <w:p w14:paraId="66E035E6" w14:textId="2E9A6AD5" w:rsid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t>Counter n3</w:t>
      </w:r>
      <w:r w:rsidR="00360F13">
        <w:rPr>
          <w:rFonts w:eastAsiaTheme="minorEastAsia"/>
          <w:lang w:val="en-US"/>
        </w:rPr>
        <w:t xml:space="preserve"> </w:t>
      </w:r>
      <w:r w:rsidRPr="00A248DD">
        <w:rPr>
          <w:rFonts w:eastAsiaTheme="minorEastAsia"/>
          <w:lang w:val="en-US"/>
        </w:rPr>
        <w:t>(true event prediction): it increases by 1 when a real event occurs around a predicted event with ETD, whose range is [0, maximum ETD]</w:t>
      </w:r>
    </w:p>
    <w:p w14:paraId="75013CA6" w14:textId="7F1B7E4D" w:rsidR="007750A6" w:rsidRDefault="007750A6" w:rsidP="007750A6">
      <w:pPr>
        <w:rPr>
          <w:rFonts w:eastAsiaTheme="minorEastAsia"/>
          <w:lang w:val="en-US"/>
        </w:rPr>
      </w:pPr>
    </w:p>
    <w:p w14:paraId="5CC951BF" w14:textId="57A32842" w:rsidR="007750A6" w:rsidRDefault="009960A5" w:rsidP="007750A6">
      <w:pPr>
        <w:rPr>
          <w:rFonts w:eastAsiaTheme="minorEastAsia"/>
          <w:lang w:val="en-US"/>
        </w:rPr>
      </w:pPr>
      <w:r>
        <w:rPr>
          <w:rFonts w:eastAsiaTheme="minorEastAsia"/>
          <w:lang w:val="en-US"/>
        </w:rPr>
        <w:t>Except for the baseline case as indicated in Table 2, we deci</w:t>
      </w:r>
      <w:r w:rsidR="00CA65F3">
        <w:rPr>
          <w:rFonts w:eastAsiaTheme="minorEastAsia"/>
          <w:lang w:val="en-US"/>
        </w:rPr>
        <w:t>ded</w:t>
      </w:r>
      <w:r>
        <w:rPr>
          <w:rFonts w:eastAsiaTheme="minorEastAsia"/>
          <w:lang w:val="en-US"/>
        </w:rPr>
        <w:t xml:space="preserve"> to check how TTT and ETD impact the results </w:t>
      </w:r>
      <w:r w:rsidR="0002246D">
        <w:rPr>
          <w:rFonts w:eastAsiaTheme="minorEastAsia"/>
          <w:lang w:val="en-US"/>
        </w:rPr>
        <w:t>when the UE speed, OW/PW and consequently also RMSE remain constant. T</w:t>
      </w:r>
      <w:r w:rsidR="004646DA">
        <w:rPr>
          <w:rFonts w:eastAsiaTheme="minorEastAsia"/>
          <w:lang w:val="en-US"/>
        </w:rPr>
        <w:t xml:space="preserve">he results </w:t>
      </w:r>
      <w:r>
        <w:rPr>
          <w:rFonts w:eastAsiaTheme="minorEastAsia"/>
          <w:lang w:val="en-US"/>
        </w:rPr>
        <w:t xml:space="preserve">are </w:t>
      </w:r>
      <w:r w:rsidR="004646DA">
        <w:rPr>
          <w:rFonts w:eastAsiaTheme="minorEastAsia"/>
          <w:lang w:val="en-US"/>
        </w:rPr>
        <w:t xml:space="preserve">presented in Table </w:t>
      </w:r>
      <w:r w:rsidR="00FC5F19">
        <w:rPr>
          <w:rFonts w:eastAsiaTheme="minorEastAsia"/>
          <w:lang w:val="en-US"/>
        </w:rPr>
        <w:t>3</w:t>
      </w:r>
      <w:r>
        <w:rPr>
          <w:rFonts w:eastAsiaTheme="minorEastAsia"/>
          <w:lang w:val="en-US"/>
        </w:rPr>
        <w:t>.</w:t>
      </w:r>
      <w:r w:rsidR="00C61839">
        <w:rPr>
          <w:rFonts w:eastAsiaTheme="minorEastAsia"/>
          <w:lang w:val="en-US"/>
        </w:rPr>
        <w:t xml:space="preserve"> In our methodology, only the events that are predicted 320ms in advance, i.e. according to the agreed PW length, are counted as positively predicted events.</w:t>
      </w:r>
    </w:p>
    <w:p w14:paraId="636ED1EE" w14:textId="14021AFD" w:rsidR="00F05023" w:rsidRPr="00044096" w:rsidRDefault="00F05023" w:rsidP="00F05023">
      <w:pPr>
        <w:rPr>
          <w:rFonts w:eastAsiaTheme="minorEastAsia"/>
          <w:b/>
          <w:lang w:val="en-US"/>
        </w:rPr>
      </w:pPr>
      <w:r>
        <w:rPr>
          <w:rFonts w:eastAsiaTheme="minorEastAsia"/>
          <w:b/>
          <w:lang w:val="en-US"/>
        </w:rPr>
        <w:t xml:space="preserve">Table </w:t>
      </w:r>
      <w:r w:rsidR="009960A5">
        <w:rPr>
          <w:rFonts w:eastAsiaTheme="minorEastAsia"/>
          <w:b/>
          <w:lang w:val="en-US"/>
        </w:rPr>
        <w:t>3</w:t>
      </w:r>
      <w:r>
        <w:rPr>
          <w:rFonts w:eastAsiaTheme="minorEastAsia"/>
          <w:b/>
          <w:lang w:val="en-US"/>
        </w:rPr>
        <w:t xml:space="preserve">. Measurement event prediction accuracy for </w:t>
      </w:r>
      <w:r w:rsidR="00DF4F45" w:rsidRPr="00DF4F45">
        <w:rPr>
          <w:rFonts w:eastAsiaTheme="minorEastAsia"/>
          <w:b/>
          <w:lang w:val="en-US"/>
        </w:rPr>
        <w:t>FR2 to FR2 intra-frequency temporal domain case A</w:t>
      </w:r>
      <w:r w:rsidR="00DF4F45">
        <w:rPr>
          <w:rFonts w:eastAsiaTheme="minorEastAsia"/>
          <w:b/>
          <w:lang w:val="en-US"/>
        </w:rPr>
        <w:t xml:space="preserve"> (Case4)</w:t>
      </w:r>
    </w:p>
    <w:tbl>
      <w:tblPr>
        <w:tblStyle w:val="TableGrid1"/>
        <w:tblW w:w="7366" w:type="dxa"/>
        <w:jc w:val="center"/>
        <w:tblLook w:val="0600" w:firstRow="0" w:lastRow="0" w:firstColumn="0" w:lastColumn="0" w:noHBand="1" w:noVBand="1"/>
      </w:tblPr>
      <w:tblGrid>
        <w:gridCol w:w="2071"/>
        <w:gridCol w:w="858"/>
        <w:gridCol w:w="731"/>
        <w:gridCol w:w="645"/>
        <w:gridCol w:w="935"/>
        <w:gridCol w:w="2126"/>
      </w:tblGrid>
      <w:tr w:rsidR="00B223AA" w:rsidRPr="004646DA" w14:paraId="7575619C" w14:textId="15710561" w:rsidTr="00E147FB">
        <w:trPr>
          <w:trHeight w:val="528"/>
          <w:jc w:val="center"/>
        </w:trPr>
        <w:tc>
          <w:tcPr>
            <w:tcW w:w="2071" w:type="dxa"/>
            <w:vMerge w:val="restart"/>
            <w:hideMark/>
          </w:tcPr>
          <w:p w14:paraId="7E3351A9" w14:textId="77777777" w:rsidR="00B223AA" w:rsidRPr="00D947CF" w:rsidRDefault="00B223AA" w:rsidP="003C7726">
            <w:pPr>
              <w:jc w:val="center"/>
              <w:rPr>
                <w:rFonts w:eastAsiaTheme="minorEastAsia"/>
                <w:sz w:val="16"/>
                <w:lang w:val="en-US"/>
              </w:rPr>
            </w:pPr>
          </w:p>
        </w:tc>
        <w:tc>
          <w:tcPr>
            <w:tcW w:w="5295" w:type="dxa"/>
            <w:gridSpan w:val="5"/>
            <w:vAlign w:val="center"/>
            <w:hideMark/>
          </w:tcPr>
          <w:p w14:paraId="2BE80F5D" w14:textId="6D17895B" w:rsidR="00B223AA" w:rsidRPr="0079052C" w:rsidRDefault="00B223AA" w:rsidP="003C7726">
            <w:pPr>
              <w:jc w:val="center"/>
              <w:rPr>
                <w:rFonts w:eastAsiaTheme="minorEastAsia"/>
                <w:b/>
                <w:sz w:val="16"/>
                <w:lang w:val="en-US"/>
              </w:rPr>
            </w:pPr>
            <w:r w:rsidRPr="0079052C">
              <w:rPr>
                <w:rFonts w:eastAsiaTheme="minorEastAsia"/>
                <w:b/>
                <w:sz w:val="16"/>
                <w:lang w:val="en-US"/>
              </w:rPr>
              <w:t xml:space="preserve">UE speed: </w:t>
            </w:r>
            <w:r>
              <w:rPr>
                <w:rFonts w:eastAsiaTheme="minorEastAsia"/>
                <w:b/>
                <w:sz w:val="16"/>
                <w:lang w:val="en-US"/>
              </w:rPr>
              <w:t>9</w:t>
            </w:r>
            <w:r w:rsidRPr="0079052C">
              <w:rPr>
                <w:rFonts w:eastAsiaTheme="minorEastAsia" w:hint="eastAsia"/>
                <w:b/>
                <w:sz w:val="16"/>
                <w:lang w:val="en-US"/>
              </w:rPr>
              <w:t>0km/h</w:t>
            </w:r>
          </w:p>
        </w:tc>
      </w:tr>
      <w:tr w:rsidR="00B223AA" w:rsidRPr="004646DA" w14:paraId="3AAFEA41" w14:textId="00A23450" w:rsidTr="00E147FB">
        <w:trPr>
          <w:trHeight w:val="528"/>
          <w:jc w:val="center"/>
        </w:trPr>
        <w:tc>
          <w:tcPr>
            <w:tcW w:w="2071" w:type="dxa"/>
            <w:vMerge/>
            <w:hideMark/>
          </w:tcPr>
          <w:p w14:paraId="332EA1D9" w14:textId="77777777" w:rsidR="00B223AA" w:rsidRPr="00D947CF" w:rsidRDefault="00B223AA" w:rsidP="003C7726">
            <w:pPr>
              <w:jc w:val="center"/>
              <w:rPr>
                <w:rFonts w:eastAsiaTheme="minorEastAsia"/>
                <w:sz w:val="16"/>
                <w:lang w:val="en-US"/>
              </w:rPr>
            </w:pPr>
          </w:p>
        </w:tc>
        <w:tc>
          <w:tcPr>
            <w:tcW w:w="858" w:type="dxa"/>
            <w:vAlign w:val="center"/>
            <w:hideMark/>
          </w:tcPr>
          <w:p w14:paraId="26E3574B" w14:textId="77777777" w:rsidR="00B223AA" w:rsidRPr="0079052C" w:rsidRDefault="00B223AA" w:rsidP="003C7726">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731" w:type="dxa"/>
            <w:vAlign w:val="center"/>
            <w:hideMark/>
          </w:tcPr>
          <w:p w14:paraId="7A98A532" w14:textId="77777777" w:rsidR="00B223AA" w:rsidRPr="0079052C" w:rsidRDefault="00B223AA" w:rsidP="003C7726">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45" w:type="dxa"/>
            <w:vAlign w:val="center"/>
          </w:tcPr>
          <w:p w14:paraId="4D065DE8" w14:textId="77777777" w:rsidR="00B223AA" w:rsidRPr="002B4CA7" w:rsidRDefault="00B223AA" w:rsidP="003C7726">
            <w:pPr>
              <w:jc w:val="center"/>
              <w:rPr>
                <w:rFonts w:eastAsiaTheme="minorEastAsia"/>
                <w:b/>
                <w:color w:val="FF0000"/>
                <w:sz w:val="16"/>
                <w:lang w:val="en-US"/>
              </w:rPr>
            </w:pPr>
            <w:r w:rsidRPr="002B4CA7">
              <w:rPr>
                <w:rFonts w:eastAsiaTheme="minorEastAsia"/>
                <w:b/>
                <w:color w:val="FF0000"/>
                <w:sz w:val="16"/>
                <w:lang w:val="en-US"/>
              </w:rPr>
              <w:t>F1 score</w:t>
            </w:r>
          </w:p>
        </w:tc>
        <w:tc>
          <w:tcPr>
            <w:tcW w:w="935" w:type="dxa"/>
            <w:vAlign w:val="center"/>
          </w:tcPr>
          <w:p w14:paraId="084D791B" w14:textId="1A85280D" w:rsidR="00B223AA" w:rsidRPr="0079052C" w:rsidRDefault="00B223AA" w:rsidP="00E147FB">
            <w:pPr>
              <w:jc w:val="center"/>
              <w:rPr>
                <w:rFonts w:eastAsiaTheme="minorEastAsia"/>
                <w:b/>
                <w:sz w:val="16"/>
                <w:lang w:val="en-US"/>
              </w:rPr>
            </w:pPr>
            <w:r w:rsidRPr="0079052C">
              <w:rPr>
                <w:rFonts w:eastAsiaTheme="minorEastAsia"/>
                <w:b/>
                <w:sz w:val="16"/>
                <w:lang w:val="en-US"/>
              </w:rPr>
              <w:t>RSRP diff</w:t>
            </w:r>
            <w:r>
              <w:rPr>
                <w:rFonts w:eastAsiaTheme="minorEastAsia"/>
                <w:b/>
                <w:sz w:val="16"/>
                <w:lang w:val="en-US"/>
              </w:rPr>
              <w:t xml:space="preserve"> [dB]</w:t>
            </w:r>
          </w:p>
        </w:tc>
        <w:tc>
          <w:tcPr>
            <w:tcW w:w="2126" w:type="dxa"/>
            <w:vAlign w:val="center"/>
          </w:tcPr>
          <w:p w14:paraId="69BD8626" w14:textId="0A50E0DC" w:rsidR="00B223AA" w:rsidRPr="005110E5" w:rsidRDefault="00B223AA" w:rsidP="00E147FB">
            <w:pPr>
              <w:jc w:val="center"/>
              <w:rPr>
                <w:rFonts w:eastAsiaTheme="minorEastAsia"/>
                <w:b/>
                <w:sz w:val="16"/>
                <w:lang w:val="en-US"/>
              </w:rPr>
            </w:pPr>
            <w:r w:rsidRPr="005110E5">
              <w:rPr>
                <w:rFonts w:eastAsiaTheme="minorEastAsia"/>
                <w:b/>
                <w:sz w:val="16"/>
                <w:lang w:val="en-US"/>
              </w:rPr>
              <w:t>Average</w:t>
            </w:r>
            <w:r w:rsidR="0039596C">
              <w:rPr>
                <w:rFonts w:eastAsiaTheme="minorEastAsia"/>
                <w:b/>
                <w:sz w:val="16"/>
                <w:lang w:val="en-US"/>
              </w:rPr>
              <w:t xml:space="preserve"> time</w:t>
            </w:r>
            <w:r w:rsidRPr="005110E5">
              <w:rPr>
                <w:rFonts w:eastAsiaTheme="minorEastAsia"/>
                <w:b/>
                <w:sz w:val="16"/>
                <w:lang w:val="en-US"/>
              </w:rPr>
              <w:t xml:space="preserve"> distance between the 1</w:t>
            </w:r>
            <w:r w:rsidR="005110E5" w:rsidRPr="005110E5">
              <w:rPr>
                <w:rFonts w:eastAsiaTheme="minorEastAsia"/>
                <w:b/>
                <w:sz w:val="16"/>
                <w:vertAlign w:val="superscript"/>
                <w:lang w:val="en-US"/>
              </w:rPr>
              <w:t>st</w:t>
            </w:r>
            <w:r w:rsidRPr="005110E5">
              <w:rPr>
                <w:rFonts w:eastAsiaTheme="minorEastAsia"/>
                <w:b/>
                <w:sz w:val="16"/>
                <w:lang w:val="en-US"/>
              </w:rPr>
              <w:t xml:space="preserve"> positive true prediction and corresponding ground truth label</w:t>
            </w:r>
          </w:p>
        </w:tc>
      </w:tr>
      <w:tr w:rsidR="00B223AA" w:rsidRPr="004646DA" w14:paraId="60675792" w14:textId="26D05CA3" w:rsidTr="00E147FB">
        <w:trPr>
          <w:trHeight w:val="528"/>
          <w:jc w:val="center"/>
        </w:trPr>
        <w:tc>
          <w:tcPr>
            <w:tcW w:w="2071" w:type="dxa"/>
            <w:hideMark/>
          </w:tcPr>
          <w:p w14:paraId="75DEA432" w14:textId="77777777" w:rsidR="00B223AA" w:rsidRPr="00E147FB" w:rsidRDefault="00B223AA" w:rsidP="00061EF7">
            <w:pPr>
              <w:spacing w:after="0"/>
              <w:jc w:val="center"/>
              <w:rPr>
                <w:rFonts w:eastAsiaTheme="minorEastAsia"/>
                <w:b/>
                <w:sz w:val="16"/>
                <w:lang w:val="en-US"/>
              </w:rPr>
            </w:pPr>
            <w:r w:rsidRPr="00E147FB">
              <w:rPr>
                <w:rFonts w:eastAsiaTheme="minorEastAsia" w:hint="eastAsia"/>
                <w:b/>
                <w:sz w:val="16"/>
                <w:lang w:val="en-US"/>
              </w:rPr>
              <w:t>OW</w:t>
            </w:r>
            <w:r w:rsidRPr="00E147FB">
              <w:rPr>
                <w:rFonts w:eastAsiaTheme="minorEastAsia"/>
                <w:b/>
                <w:sz w:val="16"/>
                <w:lang w:val="en-US"/>
              </w:rPr>
              <w:t>: 320</w:t>
            </w:r>
            <w:r w:rsidRPr="00E147FB">
              <w:rPr>
                <w:rFonts w:eastAsiaTheme="minorEastAsia" w:hint="eastAsia"/>
                <w:b/>
                <w:sz w:val="16"/>
                <w:lang w:val="en-US"/>
              </w:rPr>
              <w:t>ms</w:t>
            </w:r>
            <w:r w:rsidRPr="00E147FB">
              <w:rPr>
                <w:rFonts w:eastAsiaTheme="minorEastAsia"/>
                <w:b/>
                <w:sz w:val="16"/>
                <w:lang w:val="en-US"/>
              </w:rPr>
              <w:t xml:space="preserve">, </w:t>
            </w:r>
            <w:r w:rsidRPr="00E147FB">
              <w:rPr>
                <w:rFonts w:eastAsiaTheme="minorEastAsia" w:hint="eastAsia"/>
                <w:b/>
                <w:sz w:val="16"/>
                <w:lang w:val="en-US"/>
              </w:rPr>
              <w:t>PW</w:t>
            </w:r>
            <w:r w:rsidRPr="00E147FB">
              <w:rPr>
                <w:rFonts w:eastAsiaTheme="minorEastAsia"/>
                <w:b/>
                <w:sz w:val="16"/>
                <w:lang w:val="en-US"/>
              </w:rPr>
              <w:t>: 320</w:t>
            </w:r>
            <w:r w:rsidRPr="00E147FB">
              <w:rPr>
                <w:rFonts w:eastAsiaTheme="minorEastAsia" w:hint="eastAsia"/>
                <w:b/>
                <w:sz w:val="16"/>
                <w:lang w:val="en-US"/>
              </w:rPr>
              <w:t>ms</w:t>
            </w:r>
          </w:p>
          <w:p w14:paraId="260A32D6" w14:textId="4D8100FB" w:rsidR="00B223AA" w:rsidRPr="00E147FB" w:rsidRDefault="00B223AA" w:rsidP="00061EF7">
            <w:pPr>
              <w:spacing w:after="0"/>
              <w:jc w:val="center"/>
              <w:rPr>
                <w:rFonts w:eastAsiaTheme="minorEastAsia"/>
                <w:b/>
                <w:sz w:val="16"/>
                <w:lang w:val="en-US"/>
              </w:rPr>
            </w:pPr>
            <w:r w:rsidRPr="00E147FB">
              <w:rPr>
                <w:rFonts w:eastAsiaTheme="minorEastAsia"/>
                <w:b/>
                <w:sz w:val="16"/>
                <w:lang w:val="en-US"/>
              </w:rPr>
              <w:t xml:space="preserve">TTT=320ms, ETD=80ms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4FC5088" w14:textId="0D73D4E6" w:rsidR="00B223AA" w:rsidRPr="00D947CF" w:rsidRDefault="00B223AA" w:rsidP="00396D7C">
            <w:pPr>
              <w:spacing w:after="0"/>
              <w:jc w:val="center"/>
              <w:rPr>
                <w:rFonts w:eastAsiaTheme="minorEastAsia"/>
                <w:sz w:val="16"/>
                <w:lang w:val="en-US"/>
              </w:rPr>
            </w:pPr>
            <w:r>
              <w:rPr>
                <w:rFonts w:eastAsiaTheme="minorEastAsia"/>
                <w:sz w:val="16"/>
                <w:lang w:val="en-US"/>
              </w:rPr>
              <w:t>0.38</w:t>
            </w:r>
          </w:p>
        </w:tc>
        <w:tc>
          <w:tcPr>
            <w:tcW w:w="731" w:type="dxa"/>
            <w:tcBorders>
              <w:top w:val="single" w:sz="4" w:space="0" w:color="auto"/>
              <w:left w:val="nil"/>
              <w:bottom w:val="single" w:sz="4" w:space="0" w:color="auto"/>
              <w:right w:val="single" w:sz="4" w:space="0" w:color="auto"/>
            </w:tcBorders>
            <w:shd w:val="clear" w:color="auto" w:fill="auto"/>
            <w:vAlign w:val="center"/>
          </w:tcPr>
          <w:p w14:paraId="1EAA3FEF" w14:textId="575B450D" w:rsidR="00B223AA" w:rsidRPr="00D947CF" w:rsidRDefault="00B223AA" w:rsidP="00396D7C">
            <w:pPr>
              <w:spacing w:after="0"/>
              <w:jc w:val="center"/>
              <w:rPr>
                <w:rFonts w:eastAsiaTheme="minorEastAsia"/>
                <w:sz w:val="16"/>
                <w:lang w:val="en-US"/>
              </w:rPr>
            </w:pPr>
            <w:r>
              <w:rPr>
                <w:rFonts w:eastAsiaTheme="minorEastAsia"/>
                <w:sz w:val="16"/>
                <w:lang w:val="en-US"/>
              </w:rPr>
              <w:t>0.28</w:t>
            </w:r>
          </w:p>
        </w:tc>
        <w:tc>
          <w:tcPr>
            <w:tcW w:w="645" w:type="dxa"/>
            <w:vAlign w:val="center"/>
          </w:tcPr>
          <w:p w14:paraId="04637517" w14:textId="13059BC9" w:rsidR="00B223AA" w:rsidRPr="007D6F8F" w:rsidRDefault="00B223AA" w:rsidP="007D6F8F">
            <w:pPr>
              <w:spacing w:after="0"/>
              <w:jc w:val="center"/>
              <w:rPr>
                <w:rFonts w:eastAsiaTheme="minorEastAsia"/>
                <w:b/>
                <w:color w:val="FF0000"/>
                <w:sz w:val="16"/>
                <w:lang w:val="en-US"/>
              </w:rPr>
            </w:pPr>
            <w:r>
              <w:rPr>
                <w:rFonts w:eastAsiaTheme="minorEastAsia"/>
                <w:b/>
                <w:color w:val="FF0000"/>
                <w:sz w:val="16"/>
                <w:lang w:val="en-US"/>
              </w:rPr>
              <w:t>0.32</w:t>
            </w:r>
          </w:p>
        </w:tc>
        <w:tc>
          <w:tcPr>
            <w:tcW w:w="935" w:type="dxa"/>
            <w:vAlign w:val="center"/>
          </w:tcPr>
          <w:p w14:paraId="768FAED8" w14:textId="14976756" w:rsidR="00B223AA" w:rsidRPr="00B73E84" w:rsidRDefault="00B223AA" w:rsidP="00396D7C">
            <w:pPr>
              <w:spacing w:after="0"/>
              <w:jc w:val="center"/>
              <w:rPr>
                <w:rFonts w:eastAsiaTheme="minorEastAsia"/>
                <w:sz w:val="16"/>
                <w:lang w:val="en-US"/>
              </w:rPr>
            </w:pPr>
            <w:r w:rsidRPr="00B73E84">
              <w:rPr>
                <w:rFonts w:eastAsiaTheme="minorEastAsia"/>
                <w:sz w:val="16"/>
                <w:lang w:val="en-US"/>
              </w:rPr>
              <w:t>1.36</w:t>
            </w:r>
          </w:p>
        </w:tc>
        <w:tc>
          <w:tcPr>
            <w:tcW w:w="2126" w:type="dxa"/>
            <w:vAlign w:val="center"/>
          </w:tcPr>
          <w:p w14:paraId="227EAFAF" w14:textId="47A327A5" w:rsidR="00B223AA" w:rsidRPr="00B73E84" w:rsidRDefault="00B223AA" w:rsidP="005110E5">
            <w:pPr>
              <w:spacing w:after="0"/>
              <w:jc w:val="center"/>
              <w:rPr>
                <w:rFonts w:eastAsiaTheme="minorEastAsia"/>
                <w:sz w:val="16"/>
                <w:lang w:val="en-US"/>
              </w:rPr>
            </w:pPr>
            <w:r>
              <w:rPr>
                <w:rFonts w:eastAsiaTheme="minorEastAsia"/>
                <w:sz w:val="16"/>
                <w:lang w:val="en-US"/>
              </w:rPr>
              <w:t>320ms</w:t>
            </w:r>
          </w:p>
        </w:tc>
      </w:tr>
      <w:tr w:rsidR="00B223AA" w:rsidRPr="004646DA" w14:paraId="31A91C38" w14:textId="71269793" w:rsidTr="00E147FB">
        <w:trPr>
          <w:trHeight w:val="528"/>
          <w:jc w:val="center"/>
        </w:trPr>
        <w:tc>
          <w:tcPr>
            <w:tcW w:w="2071" w:type="dxa"/>
            <w:hideMark/>
          </w:tcPr>
          <w:p w14:paraId="7732F050" w14:textId="77777777" w:rsidR="00B223AA" w:rsidRPr="00E147FB" w:rsidRDefault="00B223AA" w:rsidP="00061EF7">
            <w:pPr>
              <w:spacing w:after="0"/>
              <w:jc w:val="center"/>
              <w:rPr>
                <w:rFonts w:eastAsiaTheme="minorEastAsia"/>
                <w:b/>
                <w:sz w:val="16"/>
                <w:lang w:val="en-US"/>
              </w:rPr>
            </w:pPr>
            <w:r w:rsidRPr="00E147FB">
              <w:rPr>
                <w:rFonts w:eastAsiaTheme="minorEastAsia" w:hint="eastAsia"/>
                <w:b/>
                <w:sz w:val="16"/>
                <w:lang w:val="en-US"/>
              </w:rPr>
              <w:t>OW</w:t>
            </w:r>
            <w:r w:rsidRPr="00E147FB">
              <w:rPr>
                <w:rFonts w:eastAsiaTheme="minorEastAsia"/>
                <w:b/>
                <w:sz w:val="16"/>
                <w:lang w:val="en-US"/>
              </w:rPr>
              <w:t>: 320</w:t>
            </w:r>
            <w:r w:rsidRPr="00E147FB">
              <w:rPr>
                <w:rFonts w:eastAsiaTheme="minorEastAsia" w:hint="eastAsia"/>
                <w:b/>
                <w:sz w:val="16"/>
                <w:lang w:val="en-US"/>
              </w:rPr>
              <w:t>ms</w:t>
            </w:r>
            <w:r w:rsidRPr="00E147FB">
              <w:rPr>
                <w:rFonts w:eastAsiaTheme="minorEastAsia"/>
                <w:b/>
                <w:sz w:val="16"/>
                <w:lang w:val="en-US"/>
              </w:rPr>
              <w:t xml:space="preserve">, </w:t>
            </w:r>
            <w:r w:rsidRPr="00E147FB">
              <w:rPr>
                <w:rFonts w:eastAsiaTheme="minorEastAsia" w:hint="eastAsia"/>
                <w:b/>
                <w:sz w:val="16"/>
                <w:lang w:val="en-US"/>
              </w:rPr>
              <w:t>PW</w:t>
            </w:r>
            <w:r w:rsidRPr="00E147FB">
              <w:rPr>
                <w:rFonts w:eastAsiaTheme="minorEastAsia"/>
                <w:b/>
                <w:sz w:val="16"/>
                <w:lang w:val="en-US"/>
              </w:rPr>
              <w:t>: 320</w:t>
            </w:r>
            <w:r w:rsidRPr="00E147FB">
              <w:rPr>
                <w:rFonts w:eastAsiaTheme="minorEastAsia" w:hint="eastAsia"/>
                <w:b/>
                <w:sz w:val="16"/>
                <w:lang w:val="en-US"/>
              </w:rPr>
              <w:t>ms</w:t>
            </w:r>
          </w:p>
          <w:p w14:paraId="63338025" w14:textId="0D5F92D4" w:rsidR="00B223AA" w:rsidRPr="00E147FB" w:rsidRDefault="00B223AA" w:rsidP="00061EF7">
            <w:pPr>
              <w:spacing w:after="0"/>
              <w:jc w:val="center"/>
              <w:rPr>
                <w:rFonts w:eastAsiaTheme="minorEastAsia"/>
                <w:b/>
                <w:sz w:val="16"/>
                <w:lang w:val="en-US"/>
              </w:rPr>
            </w:pPr>
            <w:r w:rsidRPr="00E147FB">
              <w:rPr>
                <w:rFonts w:eastAsiaTheme="minorEastAsia"/>
                <w:b/>
                <w:sz w:val="16"/>
                <w:lang w:val="en-US"/>
              </w:rPr>
              <w:t>TTT=240ms, ETD=80ms</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52221B9" w14:textId="29AF2AF4" w:rsidR="00B223AA" w:rsidRPr="00D947CF" w:rsidRDefault="00B223AA" w:rsidP="007D6F8F">
            <w:pPr>
              <w:spacing w:after="0"/>
              <w:jc w:val="center"/>
              <w:rPr>
                <w:rFonts w:eastAsiaTheme="minorEastAsia"/>
                <w:sz w:val="16"/>
                <w:lang w:val="en-US"/>
              </w:rPr>
            </w:pPr>
            <w:r>
              <w:rPr>
                <w:rFonts w:eastAsiaTheme="minorEastAsia"/>
                <w:sz w:val="16"/>
                <w:lang w:val="en-US"/>
              </w:rPr>
              <w:t>0.58</w:t>
            </w:r>
          </w:p>
        </w:tc>
        <w:tc>
          <w:tcPr>
            <w:tcW w:w="731" w:type="dxa"/>
            <w:tcBorders>
              <w:top w:val="single" w:sz="4" w:space="0" w:color="auto"/>
              <w:left w:val="nil"/>
              <w:bottom w:val="single" w:sz="4" w:space="0" w:color="auto"/>
              <w:right w:val="single" w:sz="4" w:space="0" w:color="auto"/>
            </w:tcBorders>
            <w:shd w:val="clear" w:color="auto" w:fill="auto"/>
            <w:vAlign w:val="center"/>
          </w:tcPr>
          <w:p w14:paraId="297483E9" w14:textId="778CEDE8" w:rsidR="00B223AA" w:rsidRPr="00D947CF" w:rsidRDefault="00B223AA" w:rsidP="007D6F8F">
            <w:pPr>
              <w:spacing w:after="0"/>
              <w:jc w:val="center"/>
              <w:rPr>
                <w:rFonts w:eastAsiaTheme="minorEastAsia"/>
                <w:sz w:val="16"/>
                <w:lang w:val="en-US"/>
              </w:rPr>
            </w:pPr>
            <w:r>
              <w:rPr>
                <w:rFonts w:eastAsiaTheme="minorEastAsia"/>
                <w:sz w:val="16"/>
                <w:lang w:val="en-US"/>
              </w:rPr>
              <w:t>0.55</w:t>
            </w:r>
          </w:p>
        </w:tc>
        <w:tc>
          <w:tcPr>
            <w:tcW w:w="645" w:type="dxa"/>
            <w:vAlign w:val="center"/>
          </w:tcPr>
          <w:p w14:paraId="75F542FB" w14:textId="76622A8B" w:rsidR="00B223AA" w:rsidRPr="00EA0676" w:rsidRDefault="00B223AA" w:rsidP="007D6F8F">
            <w:pPr>
              <w:spacing w:after="0"/>
              <w:jc w:val="center"/>
              <w:rPr>
                <w:rFonts w:eastAsiaTheme="minorEastAsia"/>
                <w:b/>
                <w:color w:val="FF0000"/>
                <w:sz w:val="16"/>
                <w:lang w:val="en-US"/>
              </w:rPr>
            </w:pPr>
            <w:r w:rsidRPr="00EA0676">
              <w:rPr>
                <w:rFonts w:eastAsiaTheme="minorEastAsia"/>
                <w:b/>
                <w:color w:val="FF0000"/>
                <w:sz w:val="16"/>
                <w:lang w:val="en-US"/>
              </w:rPr>
              <w:t>0.56</w:t>
            </w:r>
          </w:p>
        </w:tc>
        <w:tc>
          <w:tcPr>
            <w:tcW w:w="935" w:type="dxa"/>
            <w:vAlign w:val="center"/>
          </w:tcPr>
          <w:p w14:paraId="5D178002" w14:textId="79678FC7" w:rsidR="00B223AA" w:rsidRPr="00B73E84" w:rsidRDefault="00B223AA" w:rsidP="007D6F8F">
            <w:pPr>
              <w:spacing w:after="0"/>
              <w:jc w:val="center"/>
              <w:rPr>
                <w:rFonts w:eastAsiaTheme="minorEastAsia"/>
                <w:sz w:val="16"/>
                <w:lang w:val="en-US"/>
              </w:rPr>
            </w:pPr>
            <w:r w:rsidRPr="00B73E84">
              <w:rPr>
                <w:rFonts w:eastAsiaTheme="minorEastAsia"/>
                <w:sz w:val="16"/>
                <w:lang w:val="en-US"/>
              </w:rPr>
              <w:t>1.36</w:t>
            </w:r>
          </w:p>
        </w:tc>
        <w:tc>
          <w:tcPr>
            <w:tcW w:w="2126" w:type="dxa"/>
            <w:vAlign w:val="center"/>
          </w:tcPr>
          <w:p w14:paraId="7091DBC9" w14:textId="6AB7B568" w:rsidR="00B223AA" w:rsidRPr="00B73E84" w:rsidRDefault="00B223AA" w:rsidP="005110E5">
            <w:pPr>
              <w:spacing w:after="0"/>
              <w:jc w:val="center"/>
              <w:rPr>
                <w:rFonts w:eastAsiaTheme="minorEastAsia"/>
                <w:sz w:val="16"/>
                <w:lang w:val="en-US"/>
              </w:rPr>
            </w:pPr>
            <w:r>
              <w:rPr>
                <w:rFonts w:eastAsiaTheme="minorEastAsia"/>
                <w:sz w:val="16"/>
                <w:lang w:val="en-US"/>
              </w:rPr>
              <w:t>320ms</w:t>
            </w:r>
          </w:p>
        </w:tc>
      </w:tr>
      <w:tr w:rsidR="00B223AA" w:rsidRPr="004646DA" w14:paraId="2171EAF5" w14:textId="26A991C0" w:rsidTr="00E147FB">
        <w:trPr>
          <w:trHeight w:val="528"/>
          <w:jc w:val="center"/>
        </w:trPr>
        <w:tc>
          <w:tcPr>
            <w:tcW w:w="2071" w:type="dxa"/>
          </w:tcPr>
          <w:p w14:paraId="6B6E7572" w14:textId="77777777" w:rsidR="00B223AA" w:rsidRPr="00E147FB" w:rsidRDefault="00B223AA" w:rsidP="00061EF7">
            <w:pPr>
              <w:spacing w:after="0"/>
              <w:jc w:val="center"/>
              <w:rPr>
                <w:rFonts w:eastAsiaTheme="minorEastAsia"/>
                <w:b/>
                <w:sz w:val="16"/>
                <w:lang w:val="en-US"/>
              </w:rPr>
            </w:pPr>
            <w:r w:rsidRPr="00E147FB">
              <w:rPr>
                <w:rFonts w:eastAsiaTheme="minorEastAsia" w:hint="eastAsia"/>
                <w:b/>
                <w:sz w:val="16"/>
                <w:lang w:val="en-US"/>
              </w:rPr>
              <w:t>OW</w:t>
            </w:r>
            <w:r w:rsidRPr="00E147FB">
              <w:rPr>
                <w:rFonts w:eastAsiaTheme="minorEastAsia"/>
                <w:b/>
                <w:sz w:val="16"/>
                <w:lang w:val="en-US"/>
              </w:rPr>
              <w:t>: 320</w:t>
            </w:r>
            <w:r w:rsidRPr="00E147FB">
              <w:rPr>
                <w:rFonts w:eastAsiaTheme="minorEastAsia" w:hint="eastAsia"/>
                <w:b/>
                <w:sz w:val="16"/>
                <w:lang w:val="en-US"/>
              </w:rPr>
              <w:t>ms</w:t>
            </w:r>
            <w:r w:rsidRPr="00E147FB">
              <w:rPr>
                <w:rFonts w:eastAsiaTheme="minorEastAsia"/>
                <w:b/>
                <w:sz w:val="16"/>
                <w:lang w:val="en-US"/>
              </w:rPr>
              <w:t xml:space="preserve">, </w:t>
            </w:r>
            <w:r w:rsidRPr="00E147FB">
              <w:rPr>
                <w:rFonts w:eastAsiaTheme="minorEastAsia" w:hint="eastAsia"/>
                <w:b/>
                <w:sz w:val="16"/>
                <w:lang w:val="en-US"/>
              </w:rPr>
              <w:t>PW</w:t>
            </w:r>
            <w:r w:rsidRPr="00E147FB">
              <w:rPr>
                <w:rFonts w:eastAsiaTheme="minorEastAsia"/>
                <w:b/>
                <w:sz w:val="16"/>
                <w:lang w:val="en-US"/>
              </w:rPr>
              <w:t>: 320</w:t>
            </w:r>
            <w:r w:rsidRPr="00E147FB">
              <w:rPr>
                <w:rFonts w:eastAsiaTheme="minorEastAsia" w:hint="eastAsia"/>
                <w:b/>
                <w:sz w:val="16"/>
                <w:lang w:val="en-US"/>
              </w:rPr>
              <w:t>ms</w:t>
            </w:r>
          </w:p>
          <w:p w14:paraId="1731DB87" w14:textId="15E35946" w:rsidR="00B223AA" w:rsidRPr="00E147FB" w:rsidRDefault="00B223AA" w:rsidP="00061EF7">
            <w:pPr>
              <w:spacing w:after="0"/>
              <w:jc w:val="center"/>
              <w:rPr>
                <w:rFonts w:eastAsiaTheme="minorEastAsia"/>
                <w:b/>
                <w:sz w:val="16"/>
                <w:lang w:val="en-US"/>
              </w:rPr>
            </w:pPr>
            <w:r w:rsidRPr="00E147FB">
              <w:rPr>
                <w:rFonts w:eastAsiaTheme="minorEastAsia"/>
                <w:b/>
                <w:sz w:val="16"/>
                <w:lang w:val="en-US"/>
              </w:rPr>
              <w:t>TTT=320ms, ETD=160ms</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EBF8B4E" w14:textId="1F5655F2" w:rsidR="00B223AA" w:rsidRPr="00D947CF" w:rsidRDefault="00B223AA" w:rsidP="007D6F8F">
            <w:pPr>
              <w:spacing w:after="0"/>
              <w:jc w:val="center"/>
              <w:rPr>
                <w:rFonts w:eastAsiaTheme="minorEastAsia"/>
                <w:sz w:val="16"/>
                <w:lang w:val="en-US"/>
              </w:rPr>
            </w:pPr>
            <w:r>
              <w:rPr>
                <w:rFonts w:eastAsiaTheme="minorEastAsia"/>
                <w:sz w:val="16"/>
                <w:lang w:val="en-US"/>
              </w:rPr>
              <w:t>0.62</w:t>
            </w:r>
          </w:p>
        </w:tc>
        <w:tc>
          <w:tcPr>
            <w:tcW w:w="731" w:type="dxa"/>
            <w:tcBorders>
              <w:top w:val="single" w:sz="4" w:space="0" w:color="auto"/>
              <w:left w:val="nil"/>
              <w:bottom w:val="single" w:sz="4" w:space="0" w:color="auto"/>
              <w:right w:val="single" w:sz="4" w:space="0" w:color="auto"/>
            </w:tcBorders>
            <w:shd w:val="clear" w:color="auto" w:fill="auto"/>
            <w:vAlign w:val="center"/>
          </w:tcPr>
          <w:p w14:paraId="45501131" w14:textId="11B62AB8" w:rsidR="00B223AA" w:rsidRPr="00D947CF" w:rsidRDefault="00B223AA" w:rsidP="007D6F8F">
            <w:pPr>
              <w:spacing w:after="0"/>
              <w:jc w:val="center"/>
              <w:rPr>
                <w:rFonts w:eastAsiaTheme="minorEastAsia"/>
                <w:sz w:val="16"/>
                <w:lang w:val="en-US"/>
              </w:rPr>
            </w:pPr>
            <w:r>
              <w:rPr>
                <w:rFonts w:eastAsiaTheme="minorEastAsia"/>
                <w:sz w:val="16"/>
                <w:lang w:val="en-US"/>
              </w:rPr>
              <w:t>0.44</w:t>
            </w:r>
          </w:p>
        </w:tc>
        <w:tc>
          <w:tcPr>
            <w:tcW w:w="645" w:type="dxa"/>
            <w:vAlign w:val="center"/>
          </w:tcPr>
          <w:p w14:paraId="2BB06755" w14:textId="3C618AC1" w:rsidR="00B223AA" w:rsidRPr="00EA0676" w:rsidRDefault="00B223AA" w:rsidP="007D6F8F">
            <w:pPr>
              <w:spacing w:after="0"/>
              <w:jc w:val="center"/>
              <w:rPr>
                <w:rFonts w:eastAsiaTheme="minorEastAsia"/>
                <w:b/>
                <w:color w:val="FF0000"/>
                <w:sz w:val="16"/>
                <w:lang w:val="en-US"/>
              </w:rPr>
            </w:pPr>
            <w:r w:rsidRPr="00EA0676">
              <w:rPr>
                <w:rFonts w:eastAsiaTheme="minorEastAsia"/>
                <w:b/>
                <w:color w:val="FF0000"/>
                <w:sz w:val="16"/>
                <w:lang w:val="en-US"/>
              </w:rPr>
              <w:t>0.52</w:t>
            </w:r>
          </w:p>
        </w:tc>
        <w:tc>
          <w:tcPr>
            <w:tcW w:w="935" w:type="dxa"/>
            <w:vAlign w:val="center"/>
          </w:tcPr>
          <w:p w14:paraId="2978FC40" w14:textId="1503D05D" w:rsidR="00B223AA" w:rsidRPr="00B73E84" w:rsidRDefault="00B223AA" w:rsidP="007D6F8F">
            <w:pPr>
              <w:spacing w:after="0"/>
              <w:jc w:val="center"/>
              <w:rPr>
                <w:rFonts w:eastAsiaTheme="minorEastAsia"/>
                <w:sz w:val="16"/>
                <w:lang w:val="en-US"/>
              </w:rPr>
            </w:pPr>
            <w:r w:rsidRPr="00B73E84">
              <w:rPr>
                <w:rFonts w:eastAsiaTheme="minorEastAsia"/>
                <w:sz w:val="16"/>
                <w:lang w:val="en-US"/>
              </w:rPr>
              <w:t>1.36</w:t>
            </w:r>
          </w:p>
        </w:tc>
        <w:tc>
          <w:tcPr>
            <w:tcW w:w="2126" w:type="dxa"/>
            <w:vAlign w:val="center"/>
          </w:tcPr>
          <w:p w14:paraId="52494399" w14:textId="24B748F9" w:rsidR="00B223AA" w:rsidRPr="00B73E84" w:rsidRDefault="00B223AA" w:rsidP="005110E5">
            <w:pPr>
              <w:spacing w:after="0"/>
              <w:jc w:val="center"/>
              <w:rPr>
                <w:rFonts w:eastAsiaTheme="minorEastAsia"/>
                <w:sz w:val="16"/>
                <w:lang w:val="en-US"/>
              </w:rPr>
            </w:pPr>
            <w:r>
              <w:rPr>
                <w:rFonts w:eastAsiaTheme="minorEastAsia"/>
                <w:sz w:val="16"/>
                <w:lang w:val="en-US"/>
              </w:rPr>
              <w:t>320ms</w:t>
            </w:r>
          </w:p>
        </w:tc>
      </w:tr>
      <w:tr w:rsidR="00B223AA" w:rsidRPr="004646DA" w14:paraId="0C172545" w14:textId="5FB31E0B" w:rsidTr="00E147FB">
        <w:trPr>
          <w:trHeight w:val="528"/>
          <w:jc w:val="center"/>
        </w:trPr>
        <w:tc>
          <w:tcPr>
            <w:tcW w:w="2071" w:type="dxa"/>
          </w:tcPr>
          <w:p w14:paraId="194BAB30" w14:textId="77777777" w:rsidR="00B223AA" w:rsidRPr="00E147FB" w:rsidRDefault="00B223AA" w:rsidP="00061EF7">
            <w:pPr>
              <w:spacing w:after="0"/>
              <w:jc w:val="center"/>
              <w:rPr>
                <w:rFonts w:eastAsiaTheme="minorEastAsia"/>
                <w:b/>
                <w:sz w:val="16"/>
                <w:lang w:val="en-US"/>
              </w:rPr>
            </w:pPr>
            <w:r w:rsidRPr="00E147FB">
              <w:rPr>
                <w:rFonts w:eastAsiaTheme="minorEastAsia" w:hint="eastAsia"/>
                <w:b/>
                <w:sz w:val="16"/>
                <w:lang w:val="en-US"/>
              </w:rPr>
              <w:t>OW</w:t>
            </w:r>
            <w:r w:rsidRPr="00E147FB">
              <w:rPr>
                <w:rFonts w:eastAsiaTheme="minorEastAsia"/>
                <w:b/>
                <w:sz w:val="16"/>
                <w:lang w:val="en-US"/>
              </w:rPr>
              <w:t>: 320</w:t>
            </w:r>
            <w:r w:rsidRPr="00E147FB">
              <w:rPr>
                <w:rFonts w:eastAsiaTheme="minorEastAsia" w:hint="eastAsia"/>
                <w:b/>
                <w:sz w:val="16"/>
                <w:lang w:val="en-US"/>
              </w:rPr>
              <w:t>ms</w:t>
            </w:r>
            <w:r w:rsidRPr="00E147FB">
              <w:rPr>
                <w:rFonts w:eastAsiaTheme="minorEastAsia"/>
                <w:b/>
                <w:sz w:val="16"/>
                <w:lang w:val="en-US"/>
              </w:rPr>
              <w:t xml:space="preserve">, </w:t>
            </w:r>
            <w:r w:rsidRPr="00E147FB">
              <w:rPr>
                <w:rFonts w:eastAsiaTheme="minorEastAsia" w:hint="eastAsia"/>
                <w:b/>
                <w:sz w:val="16"/>
                <w:lang w:val="en-US"/>
              </w:rPr>
              <w:t>PW</w:t>
            </w:r>
            <w:r w:rsidRPr="00E147FB">
              <w:rPr>
                <w:rFonts w:eastAsiaTheme="minorEastAsia"/>
                <w:b/>
                <w:sz w:val="16"/>
                <w:lang w:val="en-US"/>
              </w:rPr>
              <w:t>: 320</w:t>
            </w:r>
            <w:r w:rsidRPr="00E147FB">
              <w:rPr>
                <w:rFonts w:eastAsiaTheme="minorEastAsia" w:hint="eastAsia"/>
                <w:b/>
                <w:sz w:val="16"/>
                <w:lang w:val="en-US"/>
              </w:rPr>
              <w:t>ms</w:t>
            </w:r>
          </w:p>
          <w:p w14:paraId="04ECCA1E" w14:textId="103AC7B4" w:rsidR="00B223AA" w:rsidRPr="00E147FB" w:rsidRDefault="00B223AA" w:rsidP="00061EF7">
            <w:pPr>
              <w:spacing w:after="0"/>
              <w:jc w:val="center"/>
              <w:rPr>
                <w:rFonts w:eastAsiaTheme="minorEastAsia"/>
                <w:b/>
                <w:sz w:val="16"/>
                <w:lang w:val="en-US"/>
              </w:rPr>
            </w:pPr>
            <w:r w:rsidRPr="00E147FB">
              <w:rPr>
                <w:rFonts w:eastAsiaTheme="minorEastAsia"/>
                <w:b/>
                <w:sz w:val="16"/>
                <w:lang w:val="en-US"/>
              </w:rPr>
              <w:t>TTT=240ms, ETD=160ms</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B1291FB" w14:textId="27077D50" w:rsidR="00B223AA" w:rsidRPr="00D947CF" w:rsidRDefault="00B223AA" w:rsidP="007D6F8F">
            <w:pPr>
              <w:spacing w:after="0"/>
              <w:jc w:val="center"/>
              <w:rPr>
                <w:rFonts w:eastAsiaTheme="minorEastAsia"/>
                <w:sz w:val="16"/>
                <w:lang w:val="en-US"/>
              </w:rPr>
            </w:pPr>
            <w:r>
              <w:rPr>
                <w:rFonts w:eastAsiaTheme="minorEastAsia"/>
                <w:sz w:val="16"/>
                <w:lang w:val="en-US"/>
              </w:rPr>
              <w:t>0.89</w:t>
            </w:r>
          </w:p>
        </w:tc>
        <w:tc>
          <w:tcPr>
            <w:tcW w:w="731" w:type="dxa"/>
            <w:tcBorders>
              <w:top w:val="single" w:sz="4" w:space="0" w:color="auto"/>
              <w:left w:val="nil"/>
              <w:bottom w:val="single" w:sz="4" w:space="0" w:color="auto"/>
              <w:right w:val="single" w:sz="4" w:space="0" w:color="auto"/>
            </w:tcBorders>
            <w:shd w:val="clear" w:color="auto" w:fill="auto"/>
            <w:vAlign w:val="center"/>
          </w:tcPr>
          <w:p w14:paraId="6276FCAF" w14:textId="7864AF0E" w:rsidR="00B223AA" w:rsidRPr="00D947CF" w:rsidRDefault="00B223AA" w:rsidP="007D6F8F">
            <w:pPr>
              <w:spacing w:after="0"/>
              <w:jc w:val="center"/>
              <w:rPr>
                <w:rFonts w:eastAsiaTheme="minorEastAsia"/>
                <w:sz w:val="16"/>
                <w:lang w:val="en-US"/>
              </w:rPr>
            </w:pPr>
            <w:r>
              <w:rPr>
                <w:rFonts w:eastAsiaTheme="minorEastAsia"/>
                <w:sz w:val="16"/>
                <w:lang w:val="en-US"/>
              </w:rPr>
              <w:t>0.85</w:t>
            </w:r>
          </w:p>
        </w:tc>
        <w:tc>
          <w:tcPr>
            <w:tcW w:w="645" w:type="dxa"/>
            <w:vAlign w:val="center"/>
          </w:tcPr>
          <w:p w14:paraId="09C8AFC0" w14:textId="79332436" w:rsidR="00B223AA" w:rsidRPr="00EA0676" w:rsidRDefault="00B223AA" w:rsidP="007D6F8F">
            <w:pPr>
              <w:spacing w:after="0"/>
              <w:jc w:val="center"/>
              <w:rPr>
                <w:rFonts w:eastAsiaTheme="minorEastAsia"/>
                <w:b/>
                <w:color w:val="FF0000"/>
                <w:sz w:val="16"/>
                <w:lang w:val="en-US"/>
              </w:rPr>
            </w:pPr>
            <w:r w:rsidRPr="00EA0676">
              <w:rPr>
                <w:rFonts w:eastAsiaTheme="minorEastAsia"/>
                <w:b/>
                <w:color w:val="FF0000"/>
                <w:sz w:val="16"/>
                <w:lang w:val="en-US"/>
              </w:rPr>
              <w:t>0.87</w:t>
            </w:r>
          </w:p>
        </w:tc>
        <w:tc>
          <w:tcPr>
            <w:tcW w:w="935" w:type="dxa"/>
            <w:vAlign w:val="center"/>
          </w:tcPr>
          <w:p w14:paraId="730B1AFC" w14:textId="4E5D380E" w:rsidR="00B223AA" w:rsidRPr="00B73E84" w:rsidRDefault="00B223AA" w:rsidP="007D6F8F">
            <w:pPr>
              <w:spacing w:after="0"/>
              <w:jc w:val="center"/>
              <w:rPr>
                <w:rFonts w:eastAsiaTheme="minorEastAsia"/>
                <w:sz w:val="16"/>
                <w:lang w:val="en-US"/>
              </w:rPr>
            </w:pPr>
            <w:r w:rsidRPr="00B73E84">
              <w:rPr>
                <w:rFonts w:eastAsiaTheme="minorEastAsia"/>
                <w:sz w:val="16"/>
                <w:lang w:val="en-US"/>
              </w:rPr>
              <w:t>1.36</w:t>
            </w:r>
          </w:p>
        </w:tc>
        <w:tc>
          <w:tcPr>
            <w:tcW w:w="2126" w:type="dxa"/>
            <w:vAlign w:val="center"/>
          </w:tcPr>
          <w:p w14:paraId="7594878D" w14:textId="26774B68" w:rsidR="00B223AA" w:rsidRPr="00B73E84" w:rsidRDefault="00B223AA" w:rsidP="005110E5">
            <w:pPr>
              <w:spacing w:after="0"/>
              <w:jc w:val="center"/>
              <w:rPr>
                <w:rFonts w:eastAsiaTheme="minorEastAsia"/>
                <w:sz w:val="16"/>
                <w:lang w:val="en-US"/>
              </w:rPr>
            </w:pPr>
            <w:r>
              <w:rPr>
                <w:rFonts w:eastAsiaTheme="minorEastAsia"/>
                <w:sz w:val="16"/>
                <w:lang w:val="en-US"/>
              </w:rPr>
              <w:t>320ms</w:t>
            </w:r>
          </w:p>
        </w:tc>
      </w:tr>
    </w:tbl>
    <w:p w14:paraId="011A27A0" w14:textId="77777777" w:rsidR="00F05023" w:rsidRPr="007750A6" w:rsidRDefault="00F05023" w:rsidP="007750A6">
      <w:pPr>
        <w:rPr>
          <w:rFonts w:eastAsiaTheme="minorEastAsia"/>
          <w:lang w:val="en-US"/>
        </w:rPr>
      </w:pPr>
    </w:p>
    <w:p w14:paraId="6E151E55" w14:textId="4C802BEA" w:rsidR="002B1C38" w:rsidRDefault="00D2213C" w:rsidP="00267B96">
      <w:pPr>
        <w:spacing w:after="120"/>
        <w:ind w:rightChars="100" w:right="200"/>
        <w:jc w:val="both"/>
        <w:rPr>
          <w:rFonts w:eastAsiaTheme="minorEastAsia"/>
          <w:lang w:val="en-US"/>
        </w:rPr>
      </w:pPr>
      <w:r>
        <w:rPr>
          <w:rFonts w:eastAsiaTheme="minorEastAsia"/>
          <w:lang w:val="en-US"/>
        </w:rPr>
        <w:t xml:space="preserve">As we can see in the presented results, the accuracy of measurement </w:t>
      </w:r>
      <w:r w:rsidR="00A70124">
        <w:rPr>
          <w:rFonts w:eastAsiaTheme="minorEastAsia"/>
          <w:lang w:val="en-US"/>
        </w:rPr>
        <w:t xml:space="preserve">event prediction </w:t>
      </w:r>
      <w:r w:rsidR="00ED264C">
        <w:rPr>
          <w:rFonts w:eastAsiaTheme="minorEastAsia"/>
          <w:lang w:val="en-US"/>
        </w:rPr>
        <w:t xml:space="preserve">is not always good and </w:t>
      </w:r>
      <w:r w:rsidR="004562AF">
        <w:rPr>
          <w:rFonts w:eastAsiaTheme="minorEastAsia"/>
          <w:lang w:val="en-US"/>
        </w:rPr>
        <w:t xml:space="preserve">depends </w:t>
      </w:r>
      <w:r w:rsidR="00ED264C">
        <w:rPr>
          <w:rFonts w:eastAsiaTheme="minorEastAsia"/>
          <w:lang w:val="en-US"/>
        </w:rPr>
        <w:t>on the utilized TTT and ETD. For the baseline case the accuracy is not good and F1 score equals only 0.32. However, when TTT is shortened, F1 score rises to 0.56 already. Similarly, in case we keep TTT-320ms but extend the ETD, F1 score also increases to 0.52. When we combine an effect of decreased TTT and increased ETD (TTT=240ms, ETD=160ms) F1 score is already very good, i.e. F1 score=0.87.</w:t>
      </w:r>
    </w:p>
    <w:p w14:paraId="6C2199BB" w14:textId="2B069A67" w:rsidR="00764481" w:rsidRDefault="00764481" w:rsidP="00267B96">
      <w:pPr>
        <w:spacing w:after="120"/>
        <w:ind w:rightChars="100" w:right="200"/>
        <w:jc w:val="both"/>
        <w:rPr>
          <w:rFonts w:eastAsiaTheme="minorEastAsia"/>
          <w:lang w:val="en-US"/>
        </w:rPr>
      </w:pPr>
      <w:r>
        <w:rPr>
          <w:rFonts w:eastAsiaTheme="minorEastAsia"/>
          <w:lang w:val="en-US"/>
        </w:rPr>
        <w:t>It seems these phenomena be easily justified, i.e.:</w:t>
      </w:r>
    </w:p>
    <w:p w14:paraId="375E2741" w14:textId="1C907948" w:rsidR="00764481" w:rsidRPr="00764481" w:rsidRDefault="00764481" w:rsidP="00764481">
      <w:pPr>
        <w:pStyle w:val="ListParagraph"/>
        <w:numPr>
          <w:ilvl w:val="0"/>
          <w:numId w:val="19"/>
        </w:numPr>
        <w:spacing w:after="120"/>
        <w:ind w:leftChars="0" w:rightChars="100" w:right="200"/>
        <w:jc w:val="both"/>
        <w:rPr>
          <w:rFonts w:eastAsiaTheme="minorEastAsia"/>
          <w:lang w:val="en-US"/>
        </w:rPr>
      </w:pPr>
      <w:r>
        <w:rPr>
          <w:rFonts w:eastAsiaTheme="minorEastAsia"/>
          <w:lang w:val="en-US"/>
        </w:rPr>
        <w:t>With ETD=80ms and the simulation sampling rate of 80ms, there is almost no room for mistakes from the prediction while increasing allowed error margin (ETD) to 160ms improves the F1 score quite significantly. It means that the model is able to predict that the event is going to happen, but its exact timing cannot be always predicted that accurately. System level KPIs are essential to understand how this timing inaccuracy would truly impact the HO performance, which is analyzed in the next section.</w:t>
      </w:r>
    </w:p>
    <w:p w14:paraId="576020C6" w14:textId="5846827C" w:rsidR="00B60A2E" w:rsidRDefault="00DE4158" w:rsidP="004D62CE">
      <w:pPr>
        <w:pStyle w:val="ListParagraph"/>
        <w:numPr>
          <w:ilvl w:val="0"/>
          <w:numId w:val="14"/>
        </w:numPr>
        <w:spacing w:after="120"/>
        <w:ind w:leftChars="0" w:rightChars="100" w:right="200"/>
        <w:jc w:val="both"/>
        <w:rPr>
          <w:rFonts w:eastAsiaTheme="minorEastAsia"/>
          <w:b/>
          <w:lang w:val="en-US"/>
        </w:rPr>
      </w:pPr>
      <w:r>
        <w:rPr>
          <w:rFonts w:eastAsiaTheme="minorEastAsia"/>
          <w:lang w:val="en-US"/>
        </w:rPr>
        <w:t>With shorter TTT, the model needs to properly predict whether the event is met or not for a shorter duration which is an easier task and hence improves F1 score.</w:t>
      </w:r>
    </w:p>
    <w:p w14:paraId="5BB21202" w14:textId="67F8FCEF" w:rsidR="0067178C" w:rsidRPr="0067178C" w:rsidRDefault="00DE4158" w:rsidP="00267B96">
      <w:pPr>
        <w:spacing w:after="120"/>
        <w:ind w:rightChars="100" w:right="200"/>
        <w:jc w:val="both"/>
        <w:rPr>
          <w:rFonts w:eastAsiaTheme="minorEastAsia"/>
          <w:lang w:val="en-US"/>
        </w:rPr>
      </w:pPr>
      <w:r>
        <w:rPr>
          <w:rFonts w:eastAsiaTheme="minorEastAsia"/>
          <w:lang w:val="en-US"/>
        </w:rPr>
        <w:t>Based on the above results and consideration</w:t>
      </w:r>
      <w:r w:rsidR="0035327F">
        <w:rPr>
          <w:rFonts w:eastAsiaTheme="minorEastAsia"/>
          <w:lang w:val="en-US"/>
        </w:rPr>
        <w:t>s</w:t>
      </w:r>
      <w:r>
        <w:rPr>
          <w:rFonts w:eastAsiaTheme="minorEastAsia"/>
          <w:lang w:val="en-US"/>
        </w:rPr>
        <w:t>, we draw the following conclusions:</w:t>
      </w:r>
    </w:p>
    <w:p w14:paraId="00A5FAA8" w14:textId="7E075482" w:rsidR="0067178C" w:rsidRDefault="00B260B9" w:rsidP="00267B96">
      <w:pPr>
        <w:spacing w:after="120"/>
        <w:ind w:rightChars="100" w:right="200"/>
        <w:jc w:val="both"/>
        <w:rPr>
          <w:rFonts w:eastAsiaTheme="minorEastAsia"/>
          <w:b/>
          <w:lang w:val="en-US"/>
        </w:rPr>
      </w:pPr>
      <w:r>
        <w:rPr>
          <w:rFonts w:eastAsiaTheme="minorEastAsia"/>
          <w:b/>
          <w:lang w:val="en-US"/>
        </w:rPr>
        <w:t xml:space="preserve">Observation </w:t>
      </w:r>
      <w:r w:rsidR="00DE4158">
        <w:rPr>
          <w:rFonts w:eastAsiaTheme="minorEastAsia"/>
          <w:b/>
          <w:lang w:val="en-US"/>
        </w:rPr>
        <w:t>1</w:t>
      </w:r>
      <w:r>
        <w:rPr>
          <w:rFonts w:eastAsiaTheme="minorEastAsia"/>
          <w:b/>
          <w:lang w:val="en-US"/>
        </w:rPr>
        <w:t xml:space="preserve">: </w:t>
      </w:r>
      <w:r w:rsidR="00535606">
        <w:rPr>
          <w:rFonts w:eastAsiaTheme="minorEastAsia"/>
          <w:b/>
        </w:rPr>
        <w:t xml:space="preserve">For </w:t>
      </w:r>
      <w:r w:rsidR="00F50A89" w:rsidRPr="00986E3B">
        <w:rPr>
          <w:b/>
        </w:rPr>
        <w:t xml:space="preserve">FR2 to FR2 intra-frequency temporal domain case A </w:t>
      </w:r>
      <w:r w:rsidR="00F50A89">
        <w:rPr>
          <w:b/>
        </w:rPr>
        <w:t>(Case 4)</w:t>
      </w:r>
      <w:r w:rsidR="00535606">
        <w:rPr>
          <w:rFonts w:eastAsiaTheme="minorEastAsia"/>
          <w:b/>
        </w:rPr>
        <w:t xml:space="preserve">, </w:t>
      </w:r>
      <w:r w:rsidR="00DE4158">
        <w:rPr>
          <w:rFonts w:eastAsiaTheme="minorEastAsia"/>
          <w:b/>
          <w:lang w:val="en-US"/>
        </w:rPr>
        <w:t>F1 score</w:t>
      </w:r>
      <w:r w:rsidR="0035327F">
        <w:rPr>
          <w:rFonts w:eastAsiaTheme="minorEastAsia"/>
          <w:b/>
          <w:lang w:val="en-US"/>
        </w:rPr>
        <w:t xml:space="preserve"> is higher for shorter TTT values of the predicted event.</w:t>
      </w:r>
    </w:p>
    <w:p w14:paraId="2828A0DC" w14:textId="7A420425" w:rsidR="0067178C" w:rsidRDefault="0067178C" w:rsidP="00267B96">
      <w:pPr>
        <w:spacing w:after="120"/>
        <w:ind w:rightChars="100" w:right="200"/>
        <w:jc w:val="both"/>
        <w:rPr>
          <w:rFonts w:eastAsiaTheme="minorEastAsia"/>
          <w:b/>
          <w:lang w:val="en-US"/>
        </w:rPr>
      </w:pPr>
      <w:r>
        <w:rPr>
          <w:rFonts w:eastAsiaTheme="minorEastAsia"/>
          <w:b/>
          <w:lang w:val="en-US"/>
        </w:rPr>
        <w:t xml:space="preserve">Observation </w:t>
      </w:r>
      <w:r w:rsidR="00DE4158">
        <w:rPr>
          <w:rFonts w:eastAsiaTheme="minorEastAsia"/>
          <w:b/>
          <w:lang w:val="en-US"/>
        </w:rPr>
        <w:t>2</w:t>
      </w:r>
      <w:r>
        <w:rPr>
          <w:rFonts w:eastAsiaTheme="minorEastAsia"/>
          <w:b/>
          <w:lang w:val="en-US"/>
        </w:rPr>
        <w:t>:</w:t>
      </w:r>
      <w:r w:rsidR="0035327F">
        <w:rPr>
          <w:rFonts w:eastAsiaTheme="minorEastAsia"/>
          <w:b/>
          <w:lang w:val="en-US"/>
        </w:rPr>
        <w:t xml:space="preserve"> </w:t>
      </w:r>
      <w:r w:rsidR="00535606">
        <w:rPr>
          <w:rFonts w:eastAsiaTheme="minorEastAsia"/>
          <w:b/>
        </w:rPr>
        <w:t xml:space="preserve">For </w:t>
      </w:r>
      <w:r w:rsidR="00F35CC3" w:rsidRPr="00986E3B">
        <w:rPr>
          <w:b/>
        </w:rPr>
        <w:t xml:space="preserve">FR2 to FR2 intra-frequency temporal domain case A </w:t>
      </w:r>
      <w:r w:rsidR="00F35CC3">
        <w:rPr>
          <w:b/>
        </w:rPr>
        <w:t>(Case 4)</w:t>
      </w:r>
      <w:r w:rsidR="00535606">
        <w:rPr>
          <w:rFonts w:eastAsiaTheme="minorEastAsia"/>
          <w:b/>
        </w:rPr>
        <w:t>, i</w:t>
      </w:r>
      <w:r w:rsidR="0035327F">
        <w:rPr>
          <w:rFonts w:eastAsiaTheme="minorEastAsia"/>
          <w:b/>
          <w:lang w:val="en-US"/>
        </w:rPr>
        <w:t>t is challenging to achieve high F1 score for ETD=80ms in case sampling rate in the simulations is also equal to 80ms as it leaves very small margin for prediction mistakes. Extending ETD to 160ms improves the prediction accuracy significantly</w:t>
      </w:r>
      <w:r w:rsidR="00336CFD">
        <w:rPr>
          <w:rFonts w:eastAsiaTheme="minorEastAsia"/>
          <w:b/>
          <w:lang w:val="en-US"/>
        </w:rPr>
        <w:t>, e.g. with TTT=240ms and ETD=160ms, F1 score=0.87.</w:t>
      </w:r>
    </w:p>
    <w:p w14:paraId="538AD61D" w14:textId="49777D12" w:rsidR="00CD1196" w:rsidRDefault="00CD1196" w:rsidP="00CD1196">
      <w:pPr>
        <w:pStyle w:val="Heading1"/>
      </w:pPr>
      <w:r>
        <w:lastRenderedPageBreak/>
        <w:t>3</w:t>
      </w:r>
      <w:r w:rsidR="004B12FA">
        <w:t xml:space="preserve">   </w:t>
      </w:r>
      <w:r>
        <w:rPr>
          <w:rFonts w:eastAsiaTheme="minorEastAsia"/>
        </w:rPr>
        <w:t>Mobility performance</w:t>
      </w:r>
    </w:p>
    <w:p w14:paraId="2F72B2D4" w14:textId="11B8F923" w:rsidR="00CD1196" w:rsidRDefault="00CD1196" w:rsidP="00466812">
      <w:pPr>
        <w:pStyle w:val="Heading2"/>
        <w:rPr>
          <w:rFonts w:eastAsiaTheme="minorEastAsia"/>
        </w:rPr>
      </w:pPr>
      <w:r>
        <w:rPr>
          <w:rFonts w:eastAsiaTheme="minorEastAsia"/>
        </w:rPr>
        <w:t>3</w:t>
      </w:r>
      <w:r w:rsidR="0015614D" w:rsidRPr="0060578E">
        <w:rPr>
          <w:rFonts w:eastAsiaTheme="minorEastAsia"/>
        </w:rPr>
        <w:t>.</w:t>
      </w:r>
      <w:r>
        <w:rPr>
          <w:rFonts w:eastAsiaTheme="minorEastAsia"/>
        </w:rPr>
        <w:t>1</w:t>
      </w:r>
      <w:r w:rsidR="0015614D" w:rsidRPr="0060578E">
        <w:rPr>
          <w:rFonts w:eastAsiaTheme="minorEastAsia"/>
        </w:rPr>
        <w:t xml:space="preserve"> </w:t>
      </w:r>
      <w:r>
        <w:rPr>
          <w:rFonts w:eastAsiaTheme="minorEastAsia"/>
        </w:rPr>
        <w:t>Simulation assumptions</w:t>
      </w:r>
    </w:p>
    <w:p w14:paraId="76437D26" w14:textId="008FBD0E" w:rsidR="00BE4A18" w:rsidRDefault="00AF204C" w:rsidP="00CE1AF4">
      <w:pPr>
        <w:spacing w:after="0"/>
        <w:rPr>
          <w:rFonts w:eastAsiaTheme="minorEastAsia"/>
        </w:rPr>
      </w:pPr>
      <w:r>
        <w:rPr>
          <w:rFonts w:eastAsiaTheme="minorEastAsia"/>
        </w:rPr>
        <w:t xml:space="preserve">As per RAN2 agreements, the methodology of handover failure determination in our simulations followed the methodology from </w:t>
      </w:r>
      <w:r w:rsidR="00756EFD">
        <w:rPr>
          <w:rFonts w:eastAsiaTheme="minorEastAsia"/>
        </w:rPr>
        <w:t xml:space="preserve">TR 36.839 </w:t>
      </w:r>
      <w:r>
        <w:rPr>
          <w:rFonts w:eastAsiaTheme="minorEastAsia"/>
        </w:rPr>
        <w:t>[</w:t>
      </w:r>
      <w:r w:rsidR="002452BB">
        <w:rPr>
          <w:rFonts w:eastAsiaTheme="minorEastAsia"/>
        </w:rPr>
        <w:t>4</w:t>
      </w:r>
      <w:r>
        <w:rPr>
          <w:rFonts w:eastAsiaTheme="minorEastAsia"/>
        </w:rPr>
        <w:t>]</w:t>
      </w:r>
      <w:r w:rsidR="00C95D7E">
        <w:rPr>
          <w:rFonts w:eastAsiaTheme="minorEastAsia"/>
        </w:rPr>
        <w:t>, in particular section 5.2.1.3</w:t>
      </w:r>
      <w:r w:rsidR="00756EFD">
        <w:rPr>
          <w:rFonts w:eastAsiaTheme="minorEastAsia"/>
        </w:rPr>
        <w:t>:</w:t>
      </w:r>
    </w:p>
    <w:tbl>
      <w:tblPr>
        <w:tblStyle w:val="TableGrid"/>
        <w:tblW w:w="0" w:type="auto"/>
        <w:tblLook w:val="04A0" w:firstRow="1" w:lastRow="0" w:firstColumn="1" w:lastColumn="0" w:noHBand="0" w:noVBand="1"/>
      </w:tblPr>
      <w:tblGrid>
        <w:gridCol w:w="9629"/>
      </w:tblGrid>
      <w:tr w:rsidR="00756EFD" w14:paraId="1C761179" w14:textId="77777777" w:rsidTr="00756EFD">
        <w:tc>
          <w:tcPr>
            <w:tcW w:w="9629" w:type="dxa"/>
          </w:tcPr>
          <w:p w14:paraId="2422539C" w14:textId="77777777" w:rsidR="00C95D7E" w:rsidRDefault="00C95D7E" w:rsidP="00C95D7E">
            <w:pPr>
              <w:pStyle w:val="Heading4"/>
              <w:ind w:left="1134" w:hanging="1134"/>
              <w:rPr>
                <w:rFonts w:eastAsia="SimSun"/>
              </w:rPr>
            </w:pPr>
            <w:bookmarkStart w:id="3" w:name="_Toc344077731"/>
            <w:r>
              <w:rPr>
                <w:rFonts w:eastAsia="SimSun"/>
              </w:rPr>
              <w:t>5.2.1.3</w:t>
            </w:r>
            <w:r>
              <w:rPr>
                <w:rFonts w:eastAsia="SimSun"/>
              </w:rPr>
              <w:tab/>
              <w:t>Handover/PDCCH failure modelling</w:t>
            </w:r>
            <w:bookmarkEnd w:id="3"/>
          </w:p>
          <w:p w14:paraId="2A5F311A" w14:textId="77777777" w:rsidR="00C95D7E" w:rsidRDefault="00C95D7E" w:rsidP="00C95D7E">
            <w:pPr>
              <w:pStyle w:val="B1"/>
              <w:rPr>
                <w:b/>
              </w:rPr>
            </w:pPr>
            <w:r>
              <w:rPr>
                <w:b/>
              </w:rPr>
              <w:t xml:space="preserve">Definition 3: </w:t>
            </w:r>
            <w:r>
              <w:t xml:space="preserve">A handover failure is counted if </w:t>
            </w:r>
            <w:proofErr w:type="gramStart"/>
            <w:r>
              <w:t>a</w:t>
            </w:r>
            <w:proofErr w:type="gramEnd"/>
            <w:r>
              <w:t xml:space="preserve"> RLF occurs in state 2, or a PDCCH failure is detected in state 2 or state 3.</w:t>
            </w:r>
          </w:p>
          <w:p w14:paraId="20EB7D00" w14:textId="77777777" w:rsidR="00C95D7E" w:rsidRDefault="00C95D7E" w:rsidP="00C95D7E">
            <w:pPr>
              <w:rPr>
                <w:lang w:eastAsia="en-US"/>
              </w:rPr>
            </w:pPr>
            <w:r>
              <w:t>For calculating the handover failures for the two states:</w:t>
            </w:r>
          </w:p>
          <w:p w14:paraId="05273894" w14:textId="77777777" w:rsidR="00C95D7E" w:rsidRDefault="00C95D7E" w:rsidP="00C95D7E">
            <w:pPr>
              <w:pStyle w:val="B1"/>
              <w:rPr>
                <w:lang w:eastAsia="ja-JP"/>
              </w:rPr>
            </w:pPr>
            <w:r>
              <w:rPr>
                <w:b/>
              </w:rPr>
              <w:t>-</w:t>
            </w:r>
            <w:r>
              <w:rPr>
                <w:b/>
              </w:rPr>
              <w:tab/>
              <w:t>In state 2</w:t>
            </w:r>
            <w:r>
              <w:rPr>
                <w:b/>
                <w:bCs/>
              </w:rPr>
              <w:t>:</w:t>
            </w:r>
            <w:r>
              <w:t xml:space="preserve"> when the UE is attached to the source cell, </w:t>
            </w:r>
            <w:r>
              <w:rPr>
                <w:lang w:eastAsia="ja-JP"/>
              </w:rPr>
              <w:t>a handover failure is counted if one of the following criteria is met:</w:t>
            </w:r>
          </w:p>
          <w:p w14:paraId="4CB2357F" w14:textId="77777777" w:rsidR="00C95D7E" w:rsidRDefault="00C95D7E" w:rsidP="00C95D7E">
            <w:pPr>
              <w:pStyle w:val="B2"/>
              <w:rPr>
                <w:lang w:eastAsia="en-US"/>
              </w:rPr>
            </w:pPr>
            <w:r>
              <w:rPr>
                <w:lang w:eastAsia="ja-JP"/>
              </w:rPr>
              <w:t>1)</w:t>
            </w:r>
            <w:r>
              <w:tab/>
              <w:t>Timer T310 has been triggered or is running when the HO_CMD is received by the UE (indicating PDCCH failure) or</w:t>
            </w:r>
          </w:p>
          <w:p w14:paraId="6BBB17A9" w14:textId="77777777" w:rsidR="00C95D7E" w:rsidRDefault="00C95D7E" w:rsidP="00C95D7E">
            <w:pPr>
              <w:pStyle w:val="B2"/>
            </w:pPr>
            <w:r>
              <w:t>2)</w:t>
            </w:r>
            <w:r>
              <w:tab/>
              <w:t>RLF is declared in the state 2</w:t>
            </w:r>
          </w:p>
          <w:p w14:paraId="03879606" w14:textId="77777777" w:rsidR="00C95D7E" w:rsidRDefault="00C95D7E" w:rsidP="00C95D7E">
            <w:pPr>
              <w:pStyle w:val="B1"/>
              <w:rPr>
                <w:lang w:eastAsia="ja-JP"/>
              </w:rPr>
            </w:pPr>
            <w:r>
              <w:rPr>
                <w:b/>
                <w:bCs/>
              </w:rPr>
              <w:t>-</w:t>
            </w:r>
            <w:r>
              <w:rPr>
                <w:b/>
                <w:bCs/>
              </w:rPr>
              <w:tab/>
              <w:t xml:space="preserve">In state 3: </w:t>
            </w:r>
            <w:r>
              <w:t xml:space="preserve">after the UE is attached to the target cell </w:t>
            </w:r>
            <w:r>
              <w:rPr>
                <w:lang w:eastAsia="ja-JP"/>
              </w:rPr>
              <w:t>a handover failure is counted if the following criterion is met:</w:t>
            </w:r>
          </w:p>
          <w:p w14:paraId="03931FC0" w14:textId="77777777" w:rsidR="00C95D7E" w:rsidRDefault="00C95D7E" w:rsidP="00C95D7E">
            <w:pPr>
              <w:pStyle w:val="B2"/>
              <w:rPr>
                <w:lang w:eastAsia="en-US"/>
              </w:rPr>
            </w:pPr>
            <w:r>
              <w:t>-</w:t>
            </w:r>
            <w:r>
              <w:tab/>
              <w:t xml:space="preserve">target cell downlink filtered average (the filtering/averaging here is same as that used for starting T310) wideband CQI is less than the threshold </w:t>
            </w:r>
            <w:proofErr w:type="spellStart"/>
            <w:r>
              <w:t>Qout</w:t>
            </w:r>
            <w:proofErr w:type="spellEnd"/>
            <w:r>
              <w:t xml:space="preserve"> (-8 dB) at the end of the handover execution time (Table 5.1.4.1) i</w:t>
            </w:r>
            <w:r>
              <w:rPr>
                <w:lang w:eastAsia="ja-JP"/>
              </w:rPr>
              <w:t>n state 3</w:t>
            </w:r>
            <w:r>
              <w:t>.</w:t>
            </w:r>
          </w:p>
          <w:p w14:paraId="3E35CBBD" w14:textId="77777777" w:rsidR="00C95D7E" w:rsidRDefault="00C95D7E" w:rsidP="00C95D7E">
            <w:r>
              <w:rPr>
                <w:lang w:eastAsia="ja-JP"/>
              </w:rPr>
              <w:t>For the purpose of PDCCH failure condition monitoring in state 2: The L1 sample rate is once every 10ms and the L1 samples are filtered by a linear filter with a sliding window of 200ms (i.e. 20 samples).</w:t>
            </w:r>
          </w:p>
          <w:p w14:paraId="30D5D3F9" w14:textId="77777777" w:rsidR="00C95D7E" w:rsidRDefault="00C95D7E" w:rsidP="00C95D7E">
            <w:pPr>
              <w:rPr>
                <w:lang w:eastAsia="ja-JP"/>
              </w:rPr>
            </w:pPr>
            <w:r>
              <w:rPr>
                <w:lang w:eastAsia="ja-JP"/>
              </w:rPr>
              <w:t>For the purpose of PDCCH failure condition monitoring in state 3: The L1 sample rate should be at least two samples during the 40ms (i.e. the handover execution time) and averaged over the number of samples.</w:t>
            </w:r>
          </w:p>
          <w:p w14:paraId="1631C7C8" w14:textId="77777777" w:rsidR="00C95D7E" w:rsidRDefault="00C95D7E" w:rsidP="00C95D7E">
            <w:pPr>
              <w:pStyle w:val="NO"/>
            </w:pPr>
            <w:r>
              <w:t>NOTE 1:</w:t>
            </w:r>
            <w:r>
              <w:tab/>
              <w:t>The handover failure definition 3 above is different from the handover failure definition in TS 36.331 [5]. It serves the purpose of evaluating the handover performance at both serving and target cell while the definition in TS 36.331 [5] is from the UE point of view which only captures the failures in target cell.</w:t>
            </w:r>
          </w:p>
          <w:p w14:paraId="0ECA12B5" w14:textId="77777777" w:rsidR="00C95D7E" w:rsidRDefault="00C95D7E" w:rsidP="00C95D7E">
            <w:pPr>
              <w:pStyle w:val="NO"/>
            </w:pPr>
            <w:r>
              <w:t>NOTE 2:</w:t>
            </w:r>
            <w:r>
              <w:tab/>
              <w:t>PDCCH failure condition detection is based on power measurement with the simplified model for saving simulation time to allow the calibration with various sets of configurations and more efficient simulations.</w:t>
            </w:r>
          </w:p>
          <w:p w14:paraId="6C2D43BC" w14:textId="77777777" w:rsidR="00C95D7E" w:rsidRDefault="00C95D7E" w:rsidP="00C95D7E">
            <w:pPr>
              <w:pStyle w:val="B1"/>
            </w:pPr>
            <w:r>
              <w:rPr>
                <w:b/>
                <w:lang w:eastAsia="ja-JP"/>
              </w:rPr>
              <w:t>Definition 4</w:t>
            </w:r>
            <w:r>
              <w:rPr>
                <w:lang w:eastAsia="ja-JP"/>
              </w:rPr>
              <w:t xml:space="preserve">: The handover failure rate </w:t>
            </w:r>
            <w:r>
              <w:t>is defined as: Handover failure rate = (number of handover failures) / (Total number of handover attempts).</w:t>
            </w:r>
          </w:p>
          <w:p w14:paraId="3BEA095D" w14:textId="1783AB12" w:rsidR="00756EFD" w:rsidRPr="00467A15" w:rsidRDefault="00C95D7E" w:rsidP="00467A15">
            <w:r>
              <w:t>The total number of handover attempts is defined as: Total number of handover attempts = number of handover failures + number of successful handovers. The number of handover failures is in Definition 3.</w:t>
            </w:r>
          </w:p>
        </w:tc>
      </w:tr>
    </w:tbl>
    <w:p w14:paraId="41AAB938" w14:textId="77777777" w:rsidR="00756EFD" w:rsidRDefault="00756EFD" w:rsidP="00CE1AF4">
      <w:pPr>
        <w:spacing w:after="0"/>
        <w:rPr>
          <w:rFonts w:eastAsiaTheme="minorEastAsia"/>
        </w:rPr>
      </w:pPr>
    </w:p>
    <w:p w14:paraId="4C1168FE" w14:textId="75387F2F" w:rsidR="006E13D7" w:rsidRDefault="00BB00D3" w:rsidP="00CE1AF4">
      <w:pPr>
        <w:spacing w:after="0"/>
        <w:rPr>
          <w:rFonts w:eastAsiaTheme="minorEastAsia"/>
        </w:rPr>
      </w:pPr>
      <w:r>
        <w:rPr>
          <w:rFonts w:eastAsiaTheme="minorEastAsia"/>
        </w:rPr>
        <w:t>The methodology is further explained in the figures below, also copied from [2]:</w:t>
      </w:r>
    </w:p>
    <w:tbl>
      <w:tblPr>
        <w:tblStyle w:val="TableGrid"/>
        <w:tblW w:w="0" w:type="auto"/>
        <w:tblLook w:val="04A0" w:firstRow="1" w:lastRow="0" w:firstColumn="1" w:lastColumn="0" w:noHBand="0" w:noVBand="1"/>
      </w:tblPr>
      <w:tblGrid>
        <w:gridCol w:w="9629"/>
      </w:tblGrid>
      <w:tr w:rsidR="00BB00D3" w14:paraId="42CE9B67" w14:textId="77777777" w:rsidTr="00BB00D3">
        <w:tc>
          <w:tcPr>
            <w:tcW w:w="9629" w:type="dxa"/>
          </w:tcPr>
          <w:bookmarkStart w:id="4" w:name="OLE_LINK11"/>
          <w:bookmarkStart w:id="5" w:name="OLE_LINK10"/>
          <w:p w14:paraId="6687DA5F" w14:textId="77777777" w:rsidR="00BB00D3" w:rsidRDefault="00BB00D3" w:rsidP="00BB00D3">
            <w:pPr>
              <w:pStyle w:val="TH"/>
            </w:pPr>
            <w:r>
              <w:rPr>
                <w:rFonts w:eastAsia="SimSun"/>
              </w:rPr>
              <w:object w:dxaOrig="8760" w:dyaOrig="4605" w14:anchorId="57077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30.65pt" o:ole="">
                  <v:imagedata r:id="rId14" o:title=""/>
                </v:shape>
                <o:OLEObject Type="Embed" ProgID="Visio.Drawing.11" ShapeID="_x0000_i1025" DrawAspect="Content" ObjectID="_1804594612" r:id="rId15"/>
              </w:object>
            </w:r>
            <w:bookmarkEnd w:id="4"/>
            <w:bookmarkEnd w:id="5"/>
          </w:p>
          <w:p w14:paraId="04D156BE" w14:textId="77777777" w:rsidR="00BB00D3" w:rsidRDefault="00BB00D3" w:rsidP="00BB00D3">
            <w:pPr>
              <w:pStyle w:val="TF"/>
            </w:pPr>
            <w:bookmarkStart w:id="6" w:name="_Ref292943305"/>
            <w:r>
              <w:t>Figure 5.2.1.3.1</w:t>
            </w:r>
            <w:bookmarkEnd w:id="6"/>
            <w:r>
              <w:t>: A handover failure is declared when the criterion 1) is met in state 2.</w:t>
            </w:r>
          </w:p>
          <w:p w14:paraId="6DF95D89" w14:textId="77777777" w:rsidR="00BB00D3" w:rsidRDefault="00BB00D3" w:rsidP="00BB00D3"/>
          <w:p w14:paraId="1286388C" w14:textId="77777777" w:rsidR="00BB00D3" w:rsidRDefault="00BB00D3" w:rsidP="00BB00D3">
            <w:pPr>
              <w:pStyle w:val="TH"/>
            </w:pPr>
            <w:r>
              <w:rPr>
                <w:rFonts w:eastAsia="SimSun"/>
              </w:rPr>
              <w:object w:dxaOrig="7650" w:dyaOrig="4515" w14:anchorId="54053324">
                <v:shape id="_x0000_i1026" type="#_x0000_t75" style="width:382.5pt;height:225.4pt" o:ole="">
                  <v:imagedata r:id="rId16" o:title=""/>
                </v:shape>
                <o:OLEObject Type="Embed" ProgID="Visio.Drawing.11" ShapeID="_x0000_i1026" DrawAspect="Content" ObjectID="_1804594613" r:id="rId17"/>
              </w:object>
            </w:r>
          </w:p>
          <w:p w14:paraId="1EA53428" w14:textId="6430FCE4" w:rsidR="00BB00D3" w:rsidRPr="00BB00D3" w:rsidRDefault="00BB00D3" w:rsidP="00BB00D3">
            <w:pPr>
              <w:pStyle w:val="TF"/>
            </w:pPr>
            <w:bookmarkStart w:id="7" w:name="_Ref292943310"/>
            <w:r>
              <w:t>Figure 5.2.1.3.2</w:t>
            </w:r>
            <w:bookmarkEnd w:id="7"/>
            <w:r>
              <w:t>: A handover failure is declared when the criterion 2) is met in state 2.</w:t>
            </w:r>
          </w:p>
        </w:tc>
      </w:tr>
    </w:tbl>
    <w:p w14:paraId="13741E8B" w14:textId="68C486B2" w:rsidR="00BB00D3" w:rsidRDefault="00BB00D3" w:rsidP="00CE1AF4">
      <w:pPr>
        <w:spacing w:after="0"/>
        <w:rPr>
          <w:rFonts w:eastAsiaTheme="minorEastAsia"/>
        </w:rPr>
      </w:pPr>
    </w:p>
    <w:p w14:paraId="4C531D32" w14:textId="2E4AE39A" w:rsidR="00CD1196" w:rsidRDefault="00BE4A18" w:rsidP="00CE1AF4">
      <w:pPr>
        <w:spacing w:after="0"/>
        <w:rPr>
          <w:rFonts w:eastAsiaTheme="minorEastAsia"/>
        </w:rPr>
      </w:pPr>
      <w:r>
        <w:rPr>
          <w:rFonts w:eastAsiaTheme="minorEastAsia"/>
        </w:rPr>
        <w:t>To verify the impact of using predicted measurements/measurement event on handover KPIs, in addition to the parameters mentioned in section 2.1</w:t>
      </w:r>
      <w:r w:rsidR="008B7DEB">
        <w:rPr>
          <w:rFonts w:eastAsiaTheme="minorEastAsia"/>
        </w:rPr>
        <w:t xml:space="preserve"> of this document</w:t>
      </w:r>
      <w:r>
        <w:rPr>
          <w:rFonts w:eastAsiaTheme="minorEastAsia"/>
        </w:rPr>
        <w:t>, following setting</w:t>
      </w:r>
      <w:r w:rsidR="008E63D8">
        <w:rPr>
          <w:rFonts w:eastAsiaTheme="minorEastAsia"/>
        </w:rPr>
        <w:t>s</w:t>
      </w:r>
      <w:r>
        <w:rPr>
          <w:rFonts w:eastAsiaTheme="minorEastAsia"/>
        </w:rPr>
        <w:t xml:space="preserve"> were used in order to be able to determine handover failure as per th</w:t>
      </w:r>
      <w:r w:rsidR="008E63D8">
        <w:rPr>
          <w:rFonts w:eastAsiaTheme="minorEastAsia"/>
        </w:rPr>
        <w:t>e</w:t>
      </w:r>
      <w:r>
        <w:rPr>
          <w:rFonts w:eastAsiaTheme="minorEastAsia"/>
        </w:rPr>
        <w:t xml:space="preserve"> methodology</w:t>
      </w:r>
      <w:r w:rsidR="008E63D8">
        <w:rPr>
          <w:rFonts w:eastAsiaTheme="minorEastAsia"/>
        </w:rPr>
        <w:t xml:space="preserve"> from TR 36.839 </w:t>
      </w:r>
      <w:r w:rsidR="002638B1">
        <w:rPr>
          <w:rFonts w:eastAsiaTheme="minorEastAsia"/>
        </w:rPr>
        <w:t xml:space="preserve">described </w:t>
      </w:r>
      <w:r w:rsidR="008E63D8">
        <w:rPr>
          <w:rFonts w:eastAsiaTheme="minorEastAsia"/>
        </w:rPr>
        <w:t>above</w:t>
      </w:r>
      <w:r>
        <w:rPr>
          <w:rFonts w:eastAsiaTheme="minorEastAsia"/>
        </w:rPr>
        <w:t>:</w:t>
      </w:r>
    </w:p>
    <w:tbl>
      <w:tblPr>
        <w:tblW w:w="4668" w:type="dxa"/>
        <w:jc w:val="center"/>
        <w:tblCellMar>
          <w:left w:w="0" w:type="dxa"/>
          <w:right w:w="0" w:type="dxa"/>
        </w:tblCellMar>
        <w:tblLook w:val="04A0" w:firstRow="1" w:lastRow="0" w:firstColumn="1" w:lastColumn="0" w:noHBand="0" w:noVBand="1"/>
      </w:tblPr>
      <w:tblGrid>
        <w:gridCol w:w="3120"/>
        <w:gridCol w:w="1548"/>
      </w:tblGrid>
      <w:tr w:rsidR="00BE4A18" w:rsidRPr="00BE4A18" w14:paraId="2FD95BE4"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F9AB9" w14:textId="77777777" w:rsidR="00BE4A18" w:rsidRPr="00D815EF" w:rsidRDefault="00BE4A18" w:rsidP="00991E1C">
            <w:pPr>
              <w:spacing w:after="0"/>
              <w:jc w:val="center"/>
              <w:rPr>
                <w:rFonts w:eastAsiaTheme="minorEastAsia"/>
                <w:lang w:val="en-US"/>
              </w:rPr>
            </w:pPr>
            <w:r w:rsidRPr="00D815EF">
              <w:rPr>
                <w:rFonts w:eastAsiaTheme="minorEastAsia"/>
              </w:rPr>
              <w:t>Parameter</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F9023" w14:textId="77777777" w:rsidR="00BE4A18" w:rsidRPr="00F50A89" w:rsidRDefault="00BE4A18" w:rsidP="00991E1C">
            <w:pPr>
              <w:spacing w:after="0"/>
              <w:jc w:val="center"/>
              <w:rPr>
                <w:rFonts w:eastAsiaTheme="minorEastAsia"/>
                <w:lang w:val="en-US"/>
              </w:rPr>
            </w:pPr>
            <w:r w:rsidRPr="00F50A89">
              <w:rPr>
                <w:rFonts w:eastAsiaTheme="minorEastAsia"/>
              </w:rPr>
              <w:t>Value</w:t>
            </w:r>
          </w:p>
        </w:tc>
      </w:tr>
      <w:tr w:rsidR="00BE4A18" w:rsidRPr="00BE4A18" w14:paraId="46C4441B"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A7171D" w14:textId="77777777" w:rsidR="00BE4A18" w:rsidRPr="000E66A7" w:rsidRDefault="00BE4A18" w:rsidP="00991E1C">
            <w:pPr>
              <w:spacing w:after="0"/>
              <w:jc w:val="center"/>
              <w:rPr>
                <w:rFonts w:eastAsiaTheme="minorEastAsia"/>
                <w:lang w:val="en-US"/>
              </w:rPr>
            </w:pPr>
            <w:r w:rsidRPr="00D815EF">
              <w:rPr>
                <w:rFonts w:eastAsiaTheme="minorEastAsia"/>
              </w:rPr>
              <w:t>Q</w:t>
            </w:r>
            <w:r w:rsidRPr="00D815EF">
              <w:rPr>
                <w:rFonts w:eastAsiaTheme="minorEastAsia"/>
                <w:vertAlign w:val="subscript"/>
              </w:rPr>
              <w:t>in</w:t>
            </w:r>
            <w:r w:rsidRPr="00D815EF">
              <w:rPr>
                <w:rFonts w:eastAsiaTheme="minorEastAsia"/>
              </w:rPr>
              <w:t xml:space="preserve"> threshold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E92D8" w14:textId="77777777" w:rsidR="00BE4A18" w:rsidRPr="00F50A89" w:rsidRDefault="00BE4A18" w:rsidP="00991E1C">
            <w:pPr>
              <w:spacing w:after="0"/>
              <w:jc w:val="center"/>
              <w:rPr>
                <w:rFonts w:eastAsiaTheme="minorEastAsia"/>
                <w:lang w:val="en-US"/>
              </w:rPr>
            </w:pPr>
            <w:r w:rsidRPr="00F50A89">
              <w:rPr>
                <w:rFonts w:eastAsiaTheme="minorEastAsia"/>
              </w:rPr>
              <w:t>-6db</w:t>
            </w:r>
          </w:p>
        </w:tc>
      </w:tr>
      <w:tr w:rsidR="00BE4A18" w:rsidRPr="00BE4A18" w14:paraId="3614C416"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759F44" w14:textId="77777777" w:rsidR="00BE4A18" w:rsidRPr="000E66A7" w:rsidRDefault="00BE4A18" w:rsidP="00991E1C">
            <w:pPr>
              <w:spacing w:after="0"/>
              <w:jc w:val="center"/>
              <w:rPr>
                <w:rFonts w:eastAsiaTheme="minorEastAsia"/>
                <w:lang w:val="en-US"/>
              </w:rPr>
            </w:pPr>
            <w:proofErr w:type="spellStart"/>
            <w:r w:rsidRPr="00D815EF">
              <w:rPr>
                <w:rFonts w:eastAsiaTheme="minorEastAsia"/>
              </w:rPr>
              <w:t>Q</w:t>
            </w:r>
            <w:r w:rsidRPr="00D815EF">
              <w:rPr>
                <w:rFonts w:eastAsiaTheme="minorEastAsia"/>
                <w:vertAlign w:val="subscript"/>
              </w:rPr>
              <w:t>out</w:t>
            </w:r>
            <w:proofErr w:type="spellEnd"/>
            <w:r w:rsidRPr="00D815EF">
              <w:rPr>
                <w:rFonts w:eastAsiaTheme="minorEastAsia"/>
              </w:rPr>
              <w:t xml:space="preserve"> threshold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BDD47" w14:textId="77777777" w:rsidR="00BE4A18" w:rsidRPr="00F50A89" w:rsidRDefault="00BE4A18" w:rsidP="00991E1C">
            <w:pPr>
              <w:spacing w:after="0"/>
              <w:jc w:val="center"/>
              <w:rPr>
                <w:rFonts w:eastAsiaTheme="minorEastAsia"/>
                <w:lang w:val="en-US"/>
              </w:rPr>
            </w:pPr>
            <w:r w:rsidRPr="00F50A89">
              <w:rPr>
                <w:rFonts w:eastAsiaTheme="minorEastAsia"/>
              </w:rPr>
              <w:t>-8db</w:t>
            </w:r>
          </w:p>
        </w:tc>
      </w:tr>
      <w:tr w:rsidR="00BE4A18" w:rsidRPr="00BE4A18" w14:paraId="7F2705DE"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34AEB" w14:textId="77777777" w:rsidR="00BE4A18" w:rsidRPr="000E66A7" w:rsidRDefault="00BE4A18" w:rsidP="00991E1C">
            <w:pPr>
              <w:spacing w:after="0"/>
              <w:jc w:val="center"/>
              <w:rPr>
                <w:rFonts w:eastAsiaTheme="minorEastAsia"/>
                <w:lang w:val="en-US"/>
              </w:rPr>
            </w:pPr>
            <w:r w:rsidRPr="00D815EF">
              <w:rPr>
                <w:rFonts w:eastAsiaTheme="minorEastAsia"/>
              </w:rPr>
              <w:t>Sample rate (</w:t>
            </w:r>
            <w:proofErr w:type="spellStart"/>
            <w:r w:rsidRPr="00D815EF">
              <w:rPr>
                <w:rFonts w:eastAsiaTheme="minorEastAsia"/>
              </w:rPr>
              <w:t>T</w:t>
            </w:r>
            <w:r w:rsidRPr="00D815EF">
              <w:rPr>
                <w:rFonts w:eastAsiaTheme="minorEastAsia"/>
                <w:vertAlign w:val="subscript"/>
              </w:rPr>
              <w:t>Indication_interval</w:t>
            </w:r>
            <w:proofErr w:type="spellEnd"/>
            <w:r w:rsidRPr="00D815EF">
              <w:rPr>
                <w:rFonts w:eastAsiaTheme="minorEastAsia"/>
              </w:rPr>
              <w:t>)</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E0BC9" w14:textId="4F07F738" w:rsidR="00BE4A18" w:rsidRPr="007E5C50" w:rsidRDefault="00BE4A18" w:rsidP="00991E1C">
            <w:pPr>
              <w:spacing w:after="0"/>
              <w:jc w:val="center"/>
              <w:rPr>
                <w:rFonts w:eastAsiaTheme="minorEastAsia"/>
                <w:lang w:val="en-US"/>
              </w:rPr>
            </w:pPr>
            <w:r w:rsidRPr="00F50A89">
              <w:rPr>
                <w:rFonts w:eastAsiaTheme="minorEastAsia"/>
              </w:rPr>
              <w:t>40</w:t>
            </w:r>
            <w:proofErr w:type="gramStart"/>
            <w:r w:rsidRPr="00F50A89">
              <w:rPr>
                <w:rFonts w:eastAsiaTheme="minorEastAsia"/>
              </w:rPr>
              <w:t>ms(</w:t>
            </w:r>
            <w:proofErr w:type="gramEnd"/>
            <w:r w:rsidRPr="00F50A89">
              <w:rPr>
                <w:rFonts w:eastAsiaTheme="minorEastAsia"/>
              </w:rPr>
              <w:t>FR1)</w:t>
            </w:r>
          </w:p>
        </w:tc>
      </w:tr>
      <w:tr w:rsidR="00BE4A18" w:rsidRPr="00BE4A18" w14:paraId="46A968AF"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90C6A" w14:textId="77777777" w:rsidR="00BE4A18" w:rsidRPr="000E66A7" w:rsidRDefault="00BE4A18" w:rsidP="00991E1C">
            <w:pPr>
              <w:spacing w:after="0"/>
              <w:jc w:val="center"/>
              <w:rPr>
                <w:rFonts w:eastAsiaTheme="minorEastAsia"/>
                <w:lang w:val="en-US"/>
              </w:rPr>
            </w:pPr>
            <w:r w:rsidRPr="00D815EF">
              <w:rPr>
                <w:rFonts w:eastAsiaTheme="minorEastAsia"/>
              </w:rPr>
              <w:t>Q</w:t>
            </w:r>
            <w:r w:rsidRPr="00D815EF">
              <w:rPr>
                <w:rFonts w:eastAsiaTheme="minorEastAsia"/>
                <w:vertAlign w:val="subscript"/>
              </w:rPr>
              <w:t>in</w:t>
            </w:r>
            <w:r w:rsidRPr="00D815EF">
              <w:rPr>
                <w:rFonts w:eastAsiaTheme="minorEastAsia"/>
              </w:rPr>
              <w:t xml:space="preserve"> evaluation period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DEE3D" w14:textId="77777777" w:rsidR="00BE4A18" w:rsidRPr="00F50A89" w:rsidRDefault="00BE4A18" w:rsidP="00991E1C">
            <w:pPr>
              <w:spacing w:after="0"/>
              <w:jc w:val="center"/>
              <w:rPr>
                <w:rFonts w:eastAsiaTheme="minorEastAsia"/>
                <w:lang w:val="en-US"/>
              </w:rPr>
            </w:pPr>
            <w:r w:rsidRPr="00F50A89">
              <w:rPr>
                <w:rFonts w:eastAsiaTheme="minorEastAsia"/>
              </w:rPr>
              <w:t>100ms</w:t>
            </w:r>
          </w:p>
        </w:tc>
      </w:tr>
      <w:tr w:rsidR="00BE4A18" w:rsidRPr="00BE4A18" w14:paraId="44193122"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E933" w14:textId="77777777" w:rsidR="00BE4A18" w:rsidRPr="000E66A7" w:rsidRDefault="00BE4A18" w:rsidP="00991E1C">
            <w:pPr>
              <w:spacing w:after="0"/>
              <w:jc w:val="center"/>
              <w:rPr>
                <w:rFonts w:eastAsiaTheme="minorEastAsia"/>
                <w:lang w:val="en-US"/>
              </w:rPr>
            </w:pPr>
            <w:proofErr w:type="spellStart"/>
            <w:r w:rsidRPr="00D815EF">
              <w:rPr>
                <w:rFonts w:eastAsiaTheme="minorEastAsia"/>
              </w:rPr>
              <w:t>Q</w:t>
            </w:r>
            <w:r w:rsidRPr="00D815EF">
              <w:rPr>
                <w:rFonts w:eastAsiaTheme="minorEastAsia"/>
                <w:vertAlign w:val="subscript"/>
              </w:rPr>
              <w:t>out</w:t>
            </w:r>
            <w:proofErr w:type="spellEnd"/>
            <w:r w:rsidRPr="00D815EF">
              <w:rPr>
                <w:rFonts w:eastAsiaTheme="minorEastAsia"/>
              </w:rPr>
              <w:t xml:space="preserve"> evaluation period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C2B62" w14:textId="77777777" w:rsidR="00BE4A18" w:rsidRPr="00F50A89" w:rsidRDefault="00BE4A18" w:rsidP="00991E1C">
            <w:pPr>
              <w:spacing w:after="0"/>
              <w:jc w:val="center"/>
              <w:rPr>
                <w:rFonts w:eastAsiaTheme="minorEastAsia"/>
                <w:lang w:val="en-US"/>
              </w:rPr>
            </w:pPr>
            <w:r w:rsidRPr="00F50A89">
              <w:rPr>
                <w:rFonts w:eastAsiaTheme="minorEastAsia"/>
              </w:rPr>
              <w:t>200ms</w:t>
            </w:r>
          </w:p>
        </w:tc>
      </w:tr>
      <w:tr w:rsidR="00BE4A18" w:rsidRPr="00BE4A18" w14:paraId="60410F38"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EB9CC" w14:textId="77777777" w:rsidR="00BE4A18" w:rsidRPr="00D815EF" w:rsidRDefault="00BE4A18" w:rsidP="00991E1C">
            <w:pPr>
              <w:spacing w:after="0"/>
              <w:jc w:val="center"/>
              <w:rPr>
                <w:rFonts w:eastAsiaTheme="minorEastAsia"/>
                <w:lang w:val="en-US"/>
              </w:rPr>
            </w:pPr>
            <w:r w:rsidRPr="00D815EF">
              <w:rPr>
                <w:rFonts w:eastAsiaTheme="minorEastAsia"/>
              </w:rPr>
              <w:t>T310</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A95C9" w14:textId="77777777" w:rsidR="00BE4A18" w:rsidRPr="00F50A89" w:rsidRDefault="00BE4A18" w:rsidP="00991E1C">
            <w:pPr>
              <w:spacing w:after="0"/>
              <w:jc w:val="center"/>
              <w:rPr>
                <w:rFonts w:eastAsiaTheme="minorEastAsia"/>
                <w:lang w:val="en-US"/>
              </w:rPr>
            </w:pPr>
            <w:r w:rsidRPr="00F50A89">
              <w:rPr>
                <w:rFonts w:eastAsiaTheme="minorEastAsia"/>
              </w:rPr>
              <w:t>1000ms</w:t>
            </w:r>
          </w:p>
        </w:tc>
      </w:tr>
      <w:tr w:rsidR="00BE4A18" w:rsidRPr="00BE4A18" w14:paraId="5FA6201A"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F1B0F5" w14:textId="77777777" w:rsidR="00BE4A18" w:rsidRPr="00D815EF" w:rsidRDefault="00BE4A18" w:rsidP="00991E1C">
            <w:pPr>
              <w:spacing w:after="0"/>
              <w:jc w:val="center"/>
              <w:rPr>
                <w:rFonts w:eastAsiaTheme="minorEastAsia"/>
                <w:lang w:val="en-US"/>
              </w:rPr>
            </w:pPr>
            <w:r w:rsidRPr="00D815EF">
              <w:rPr>
                <w:rFonts w:eastAsiaTheme="minorEastAsia"/>
              </w:rPr>
              <w:t>N310</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E8A22" w14:textId="77777777" w:rsidR="00BE4A18" w:rsidRPr="00F50A89" w:rsidRDefault="00BE4A18" w:rsidP="00991E1C">
            <w:pPr>
              <w:spacing w:after="0"/>
              <w:jc w:val="center"/>
              <w:rPr>
                <w:rFonts w:eastAsiaTheme="minorEastAsia"/>
                <w:lang w:val="en-US"/>
              </w:rPr>
            </w:pPr>
            <w:r w:rsidRPr="00F50A89">
              <w:rPr>
                <w:rFonts w:eastAsiaTheme="minorEastAsia"/>
              </w:rPr>
              <w:t>1</w:t>
            </w:r>
          </w:p>
        </w:tc>
      </w:tr>
      <w:tr w:rsidR="00BE4A18" w:rsidRPr="00BE4A18" w14:paraId="70FAB8CC"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A78EA" w14:textId="77777777" w:rsidR="00BE4A18" w:rsidRPr="00D815EF" w:rsidRDefault="00BE4A18" w:rsidP="00991E1C">
            <w:pPr>
              <w:spacing w:after="0"/>
              <w:jc w:val="center"/>
              <w:rPr>
                <w:rFonts w:eastAsiaTheme="minorEastAsia"/>
                <w:lang w:val="en-US"/>
              </w:rPr>
            </w:pPr>
            <w:r w:rsidRPr="00D815EF">
              <w:rPr>
                <w:rFonts w:eastAsiaTheme="minorEastAsia"/>
              </w:rPr>
              <w:t>N311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D58F7" w14:textId="77777777" w:rsidR="00BE4A18" w:rsidRPr="00F50A89" w:rsidRDefault="00BE4A18" w:rsidP="00991E1C">
            <w:pPr>
              <w:spacing w:after="0"/>
              <w:jc w:val="center"/>
              <w:rPr>
                <w:rFonts w:eastAsiaTheme="minorEastAsia"/>
                <w:lang w:val="en-US"/>
              </w:rPr>
            </w:pPr>
            <w:r w:rsidRPr="00F50A89">
              <w:rPr>
                <w:rFonts w:eastAsiaTheme="minorEastAsia"/>
              </w:rPr>
              <w:t>1</w:t>
            </w:r>
          </w:p>
        </w:tc>
      </w:tr>
      <w:tr w:rsidR="00CA1547" w:rsidRPr="00BE4A18" w14:paraId="214094C8"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BFCF41" w14:textId="7722AEC0" w:rsidR="00CA1547" w:rsidRPr="00D815EF" w:rsidRDefault="00CA1547" w:rsidP="00991E1C">
            <w:pPr>
              <w:spacing w:after="0"/>
              <w:jc w:val="center"/>
              <w:rPr>
                <w:rFonts w:eastAsiaTheme="minorEastAsia"/>
              </w:rPr>
            </w:pPr>
            <w:r w:rsidRPr="00D815EF">
              <w:rPr>
                <w:rFonts w:eastAsiaTheme="minorEastAsia"/>
              </w:rPr>
              <w:lastRenderedPageBreak/>
              <w:t>Handover preparation time</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7ECB0D" w14:textId="6BFAF884" w:rsidR="00CA1547" w:rsidRPr="00F50A89" w:rsidRDefault="00CA1547" w:rsidP="00991E1C">
            <w:pPr>
              <w:spacing w:after="0"/>
              <w:jc w:val="center"/>
              <w:rPr>
                <w:rFonts w:eastAsiaTheme="minorEastAsia"/>
              </w:rPr>
            </w:pPr>
            <w:r w:rsidRPr="00F50A89">
              <w:rPr>
                <w:rFonts w:eastAsiaTheme="minorEastAsia"/>
              </w:rPr>
              <w:t>40ms</w:t>
            </w:r>
          </w:p>
        </w:tc>
      </w:tr>
      <w:tr w:rsidR="00CA1547" w:rsidRPr="00BE4A18" w14:paraId="12D1A29E"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9452E1" w14:textId="16F6ACD0" w:rsidR="00CA1547" w:rsidRPr="00D815EF" w:rsidRDefault="00CA1547" w:rsidP="00991E1C">
            <w:pPr>
              <w:spacing w:after="0"/>
              <w:jc w:val="center"/>
              <w:rPr>
                <w:rFonts w:eastAsiaTheme="minorEastAsia"/>
              </w:rPr>
            </w:pPr>
            <w:r w:rsidRPr="00D815EF">
              <w:rPr>
                <w:rFonts w:eastAsiaTheme="minorEastAsia"/>
              </w:rPr>
              <w:t>Handover execution time</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3C4FE3" w14:textId="65E17102" w:rsidR="00CA1547" w:rsidRPr="00F50A89" w:rsidRDefault="00CA1547" w:rsidP="00991E1C">
            <w:pPr>
              <w:spacing w:after="0"/>
              <w:jc w:val="center"/>
              <w:rPr>
                <w:rFonts w:eastAsiaTheme="minorEastAsia"/>
              </w:rPr>
            </w:pPr>
            <w:r w:rsidRPr="00F50A89">
              <w:rPr>
                <w:rFonts w:eastAsiaTheme="minorEastAsia"/>
              </w:rPr>
              <w:t>40ms</w:t>
            </w:r>
          </w:p>
        </w:tc>
      </w:tr>
    </w:tbl>
    <w:p w14:paraId="3400F60F" w14:textId="77777777" w:rsidR="00BE4A18" w:rsidRDefault="00BE4A18" w:rsidP="00CE1AF4">
      <w:pPr>
        <w:spacing w:after="0"/>
        <w:rPr>
          <w:rFonts w:eastAsiaTheme="minorEastAsia"/>
        </w:rPr>
      </w:pPr>
    </w:p>
    <w:p w14:paraId="62627E16" w14:textId="77777777" w:rsidR="00CD1196" w:rsidRDefault="00CD1196" w:rsidP="00CE1AF4">
      <w:pPr>
        <w:spacing w:after="0"/>
        <w:rPr>
          <w:rFonts w:eastAsiaTheme="minorEastAsia"/>
        </w:rPr>
      </w:pPr>
    </w:p>
    <w:p w14:paraId="62DBF5F4" w14:textId="62FA89D5" w:rsidR="001053CD" w:rsidRPr="0060578E" w:rsidRDefault="00CD1196" w:rsidP="00466812">
      <w:pPr>
        <w:pStyle w:val="Heading2"/>
        <w:rPr>
          <w:rFonts w:eastAsiaTheme="minorEastAsia"/>
        </w:rPr>
      </w:pPr>
      <w:r>
        <w:rPr>
          <w:rFonts w:eastAsiaTheme="minorEastAsia"/>
        </w:rPr>
        <w:t xml:space="preserve">3.2 </w:t>
      </w:r>
      <w:r w:rsidR="00C67245">
        <w:rPr>
          <w:rFonts w:eastAsiaTheme="minorEastAsia"/>
        </w:rPr>
        <w:t>Simulation r</w:t>
      </w:r>
      <w:r>
        <w:rPr>
          <w:rFonts w:eastAsiaTheme="minorEastAsia"/>
        </w:rPr>
        <w:t>esults</w:t>
      </w:r>
    </w:p>
    <w:p w14:paraId="3779F25A" w14:textId="24D5CB4A" w:rsidR="00B71153" w:rsidRDefault="005C5732" w:rsidP="00B71153">
      <w:pPr>
        <w:spacing w:after="0"/>
        <w:rPr>
          <w:rFonts w:eastAsiaTheme="minorEastAsia"/>
        </w:rPr>
      </w:pPr>
      <w:bookmarkStart w:id="8" w:name="_Hlk166002333"/>
      <w:r>
        <w:rPr>
          <w:rFonts w:eastAsiaTheme="minorEastAsia"/>
        </w:rPr>
        <w:t>RAN2 agreed to utilize t</w:t>
      </w:r>
      <w:r w:rsidR="00FF661E">
        <w:rPr>
          <w:rFonts w:eastAsiaTheme="minorEastAsia"/>
        </w:rPr>
        <w:t>hree</w:t>
      </w:r>
      <w:r>
        <w:rPr>
          <w:rFonts w:eastAsiaTheme="minorEastAsia"/>
        </w:rPr>
        <w:t xml:space="preserve"> KPIs for evaluation of impact </w:t>
      </w:r>
      <w:r w:rsidR="00FF661E">
        <w:rPr>
          <w:rFonts w:eastAsiaTheme="minorEastAsia"/>
        </w:rPr>
        <w:t xml:space="preserve">that </w:t>
      </w:r>
      <w:r>
        <w:rPr>
          <w:rFonts w:eastAsiaTheme="minorEastAsia"/>
        </w:rPr>
        <w:t>using predicted measurement event has on mobility performance:</w:t>
      </w:r>
    </w:p>
    <w:p w14:paraId="69DB9FC2" w14:textId="247DBB9F" w:rsidR="005C5732" w:rsidRPr="005C5732" w:rsidRDefault="005C5732" w:rsidP="005C5732">
      <w:pPr>
        <w:pStyle w:val="ListParagraph"/>
        <w:numPr>
          <w:ilvl w:val="0"/>
          <w:numId w:val="10"/>
        </w:numPr>
        <w:ind w:leftChars="0"/>
        <w:rPr>
          <w:rFonts w:eastAsiaTheme="minorEastAsia"/>
        </w:rPr>
      </w:pPr>
      <w:r w:rsidRPr="005C5732">
        <w:rPr>
          <w:rFonts w:eastAsiaTheme="minorEastAsia"/>
        </w:rPr>
        <w:t>Handover failure rate, defined as: HOF rate</w:t>
      </w:r>
      <w:r>
        <w:rPr>
          <w:rFonts w:eastAsiaTheme="minorEastAsia"/>
        </w:rPr>
        <w:t xml:space="preserve"> </w:t>
      </w:r>
      <w:r w:rsidRPr="005C5732">
        <w:rPr>
          <w:rFonts w:eastAsiaTheme="minorEastAsia"/>
        </w:rPr>
        <w:t>=</w:t>
      </w:r>
      <w:r>
        <w:rPr>
          <w:rFonts w:eastAsiaTheme="minorEastAsia"/>
        </w:rPr>
        <w:t xml:space="preserve"> </w:t>
      </w:r>
      <w:r w:rsidRPr="005C5732">
        <w:rPr>
          <w:rFonts w:eastAsiaTheme="minorEastAsia" w:hint="eastAsia"/>
        </w:rPr>
        <w:t>(number of handover failures) / (Total number of handover attempts).</w:t>
      </w:r>
    </w:p>
    <w:p w14:paraId="2E656E9E" w14:textId="58AAD203" w:rsidR="005C5732" w:rsidRDefault="005C5732" w:rsidP="005C5732">
      <w:pPr>
        <w:pStyle w:val="ListParagraph"/>
        <w:numPr>
          <w:ilvl w:val="0"/>
          <w:numId w:val="10"/>
        </w:numPr>
        <w:ind w:leftChars="0"/>
        <w:rPr>
          <w:rFonts w:eastAsiaTheme="minorEastAsia"/>
        </w:rPr>
      </w:pPr>
      <w:r w:rsidRPr="005C5732">
        <w:rPr>
          <w:rFonts w:eastAsiaTheme="minorEastAsia"/>
        </w:rPr>
        <w:t>Total number of HO attempts per UE per second</w:t>
      </w:r>
      <w:r w:rsidR="006875DF">
        <w:rPr>
          <w:rFonts w:eastAsiaTheme="minorEastAsia"/>
        </w:rPr>
        <w:t xml:space="preserve"> which includes both successful and failed handover attempts</w:t>
      </w:r>
      <w:r w:rsidR="000E66A7">
        <w:rPr>
          <w:rFonts w:eastAsiaTheme="minorEastAsia"/>
        </w:rPr>
        <w:t>.</w:t>
      </w:r>
    </w:p>
    <w:p w14:paraId="329E9E49" w14:textId="2C47B068" w:rsidR="00E1424E" w:rsidRPr="005C5732" w:rsidRDefault="00823246" w:rsidP="005C5732">
      <w:pPr>
        <w:pStyle w:val="ListParagraph"/>
        <w:numPr>
          <w:ilvl w:val="0"/>
          <w:numId w:val="10"/>
        </w:numPr>
        <w:ind w:leftChars="0"/>
        <w:rPr>
          <w:rFonts w:eastAsiaTheme="minorEastAsia"/>
        </w:rPr>
      </w:pPr>
      <w:r w:rsidRPr="00823246">
        <w:rPr>
          <w:rFonts w:eastAsiaTheme="minorEastAsia"/>
        </w:rPr>
        <w:t>Total number of HOF per UE per second</w:t>
      </w:r>
      <w:r w:rsidR="00BD5F3E">
        <w:rPr>
          <w:rFonts w:eastAsiaTheme="minorEastAsia"/>
        </w:rPr>
        <w:t>, where HOF is defined as above</w:t>
      </w:r>
      <w:r w:rsidR="000E66A7">
        <w:rPr>
          <w:rFonts w:eastAsiaTheme="minorEastAsia"/>
        </w:rPr>
        <w:t>.</w:t>
      </w:r>
    </w:p>
    <w:p w14:paraId="18C1735E" w14:textId="560A5A15" w:rsidR="003F2CB7" w:rsidRDefault="003F2CB7" w:rsidP="00EF4C42">
      <w:pPr>
        <w:spacing w:after="120"/>
        <w:ind w:rightChars="100" w:right="200"/>
        <w:jc w:val="both"/>
        <w:rPr>
          <w:rFonts w:eastAsiaTheme="minorEastAsia"/>
          <w:b/>
        </w:rPr>
      </w:pPr>
    </w:p>
    <w:p w14:paraId="662EBA88" w14:textId="2A9AA9EB" w:rsidR="00082110" w:rsidRDefault="00082110" w:rsidP="00EF4C42">
      <w:pPr>
        <w:spacing w:after="120"/>
        <w:ind w:rightChars="100" w:right="200"/>
        <w:jc w:val="both"/>
        <w:rPr>
          <w:rFonts w:eastAsiaTheme="minorEastAsia"/>
        </w:rPr>
      </w:pPr>
      <w:r w:rsidRPr="00082110">
        <w:rPr>
          <w:rFonts w:eastAsiaTheme="minorEastAsia"/>
        </w:rPr>
        <w:t>Also</w:t>
      </w:r>
      <w:r>
        <w:rPr>
          <w:rFonts w:eastAsiaTheme="minorEastAsia"/>
        </w:rPr>
        <w:t>, two distinct HO modelling options were agreed and captured in [3]</w:t>
      </w:r>
      <w:r w:rsidR="00D00EE5">
        <w:rPr>
          <w:rFonts w:eastAsiaTheme="minorEastAsia"/>
        </w:rPr>
        <w:t xml:space="preserve"> (HO option 1 and HO option 2 for short)</w:t>
      </w:r>
      <w:r>
        <w:rPr>
          <w:rFonts w:eastAsiaTheme="minorEastAsia"/>
        </w:rPr>
        <w:t>:</w:t>
      </w:r>
    </w:p>
    <w:tbl>
      <w:tblPr>
        <w:tblStyle w:val="TableGrid"/>
        <w:tblW w:w="0" w:type="auto"/>
        <w:tblLook w:val="04A0" w:firstRow="1" w:lastRow="0" w:firstColumn="1" w:lastColumn="0" w:noHBand="0" w:noVBand="1"/>
      </w:tblPr>
      <w:tblGrid>
        <w:gridCol w:w="9629"/>
      </w:tblGrid>
      <w:tr w:rsidR="00082110" w14:paraId="4BCD9882" w14:textId="77777777" w:rsidTr="00082110">
        <w:tc>
          <w:tcPr>
            <w:tcW w:w="9629" w:type="dxa"/>
          </w:tcPr>
          <w:p w14:paraId="328EBCF9" w14:textId="77777777" w:rsidR="00082110" w:rsidRDefault="00082110" w:rsidP="00082110">
            <w:pPr>
              <w:jc w:val="center"/>
            </w:pPr>
            <w:r>
              <w:rPr>
                <w:rFonts w:hint="eastAsia"/>
              </w:rPr>
              <w:object w:dxaOrig="5670" w:dyaOrig="2175" w14:anchorId="7B29F327">
                <v:shape id="_x0000_i1027" type="#_x0000_t75" style="width:284.25pt;height:109.5pt" o:ole="">
                  <v:imagedata r:id="rId18" o:title=""/>
                </v:shape>
                <o:OLEObject Type="Embed" ProgID="Visio.Drawing.15" ShapeID="_x0000_i1027" DrawAspect="Content" ObjectID="_1804594614" r:id="rId19"/>
              </w:object>
            </w:r>
            <w:r w:rsidDel="00B67EED">
              <w:rPr>
                <w:rFonts w:hint="eastAsia"/>
                <w:noProof/>
              </w:rPr>
              <w:t xml:space="preserve"> </w:t>
            </w:r>
          </w:p>
          <w:p w14:paraId="28F4624B" w14:textId="77777777" w:rsidR="00082110" w:rsidRDefault="00082110" w:rsidP="00082110">
            <w:pPr>
              <w:jc w:val="center"/>
            </w:pPr>
            <w:r>
              <w:rPr>
                <w:rFonts w:hint="eastAsia"/>
              </w:rPr>
              <w:t>Figure 5.5.1-1: Handover model option 1</w:t>
            </w:r>
          </w:p>
          <w:p w14:paraId="426B95D0" w14:textId="77777777" w:rsidR="00082110" w:rsidRPr="00C03CFD" w:rsidRDefault="00082110" w:rsidP="00082110">
            <w:r>
              <w:rPr>
                <w:rFonts w:hint="eastAsia"/>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t>preparation</w:t>
            </w:r>
            <w:r>
              <w:rPr>
                <w:rFonts w:hint="eastAsia"/>
              </w:rPr>
              <w:t xml:space="preserve"> time.</w:t>
            </w:r>
          </w:p>
          <w:p w14:paraId="345F19BD" w14:textId="77777777" w:rsidR="00082110" w:rsidRDefault="00082110" w:rsidP="00082110">
            <w:pPr>
              <w:jc w:val="center"/>
            </w:pPr>
            <w:r>
              <w:rPr>
                <w:rFonts w:hint="eastAsia"/>
              </w:rPr>
              <w:object w:dxaOrig="6766" w:dyaOrig="1680" w14:anchorId="1362060C">
                <v:shape id="_x0000_i1028" type="#_x0000_t75" style="width:338.65pt;height:83.65pt" o:ole="">
                  <v:imagedata r:id="rId20" o:title=""/>
                </v:shape>
                <o:OLEObject Type="Embed" ProgID="Visio.Drawing.15" ShapeID="_x0000_i1028" DrawAspect="Content" ObjectID="_1804594615" r:id="rId21"/>
              </w:object>
            </w:r>
            <w:r w:rsidDel="00D30C83">
              <w:rPr>
                <w:rFonts w:hint="eastAsia"/>
                <w:noProof/>
              </w:rPr>
              <w:t xml:space="preserve"> </w:t>
            </w:r>
          </w:p>
          <w:p w14:paraId="3F6B44F2" w14:textId="77777777" w:rsidR="00082110" w:rsidRDefault="00082110" w:rsidP="00082110">
            <w:pPr>
              <w:jc w:val="center"/>
            </w:pPr>
            <w:r>
              <w:rPr>
                <w:rFonts w:hint="eastAsia"/>
              </w:rPr>
              <w:t xml:space="preserve">Figure 5.5.1-2: Handover model option 2 </w:t>
            </w:r>
          </w:p>
          <w:p w14:paraId="746E700D" w14:textId="7F8D8157" w:rsidR="00082110" w:rsidRPr="00082110" w:rsidRDefault="00082110" w:rsidP="00082110">
            <w:r>
              <w:rPr>
                <w:rFonts w:hint="eastAsia"/>
              </w:rPr>
              <w:t xml:space="preserve">Option 2 is illustrated in Figure 5.5.1-2. At </w:t>
            </w:r>
            <w:r>
              <w:t>current</w:t>
            </w:r>
            <w:r>
              <w:rPr>
                <w:rFonts w:hint="eastAsia"/>
              </w:rPr>
              <w:t xml:space="preserve"> time i.e. t0 measurement event e.g. A3 event is predicted @ future time t1. Network transmits handover command when entry condition of the predicted measurement event based on actual measurement result @ t2 unless t2 is earlier than handover preparation phase. In later case, network transmits handover command immediately after handover preparation phase. In this way, not only handover </w:t>
            </w:r>
            <w:r>
              <w:t>preparation</w:t>
            </w:r>
            <w:r>
              <w:rPr>
                <w:rFonts w:hint="eastAsia"/>
              </w:rPr>
              <w:t xml:space="preserve"> could be saved but also handover can be executed earlier.</w:t>
            </w:r>
          </w:p>
        </w:tc>
      </w:tr>
    </w:tbl>
    <w:p w14:paraId="7E507A09" w14:textId="77777777" w:rsidR="00082110" w:rsidRPr="00082110" w:rsidRDefault="00082110" w:rsidP="00EF4C42">
      <w:pPr>
        <w:spacing w:after="120"/>
        <w:ind w:rightChars="100" w:right="200"/>
        <w:jc w:val="both"/>
        <w:rPr>
          <w:rFonts w:eastAsiaTheme="minorEastAsia"/>
        </w:rPr>
      </w:pPr>
    </w:p>
    <w:p w14:paraId="347DB80B" w14:textId="397E9EF2" w:rsidR="00082110" w:rsidRPr="00E729C7" w:rsidRDefault="00E729C7" w:rsidP="00EF4C42">
      <w:pPr>
        <w:spacing w:after="120"/>
        <w:ind w:rightChars="100" w:right="200"/>
        <w:jc w:val="both"/>
        <w:rPr>
          <w:rFonts w:eastAsiaTheme="minorEastAsia"/>
        </w:rPr>
      </w:pPr>
      <w:r w:rsidRPr="00E729C7">
        <w:rPr>
          <w:rFonts w:eastAsiaTheme="minorEastAsia"/>
        </w:rPr>
        <w:t xml:space="preserve">The main difference </w:t>
      </w:r>
      <w:r>
        <w:rPr>
          <w:rFonts w:eastAsiaTheme="minorEastAsia"/>
        </w:rPr>
        <w:t>between Option 1 and Option 2 is that in option 1 event prediction is used solely for the purpose of starting a HO preparation in advance, while the decision about sending a HO command is based on the usual measurement report (i.e. not based on predictions). In option 2</w:t>
      </w:r>
      <w:r w:rsidR="005D05E0">
        <w:rPr>
          <w:rFonts w:eastAsiaTheme="minorEastAsia"/>
        </w:rPr>
        <w:t>, in addition to commencing the</w:t>
      </w:r>
      <w:r>
        <w:rPr>
          <w:rFonts w:eastAsiaTheme="minorEastAsia"/>
        </w:rPr>
        <w:t xml:space="preserve"> </w:t>
      </w:r>
      <w:r w:rsidR="005D05E0">
        <w:rPr>
          <w:rFonts w:eastAsiaTheme="minorEastAsia"/>
        </w:rPr>
        <w:t>HO preparation in advance, the network sends HO command as soon as the event entering condition is met based on actual measurements and the AIML model predicts that an event will remain met for the duration of TTT. Hence, it allows not to delay sending the HO command unnecessarily (assuming that the prediction is correct).</w:t>
      </w:r>
    </w:p>
    <w:p w14:paraId="63788EA8" w14:textId="77777777" w:rsidR="005D18C2" w:rsidRDefault="00CF3577" w:rsidP="00EF4C42">
      <w:pPr>
        <w:spacing w:after="120"/>
        <w:ind w:rightChars="100" w:right="200"/>
        <w:jc w:val="both"/>
        <w:rPr>
          <w:rFonts w:eastAsiaTheme="minorEastAsia"/>
        </w:rPr>
      </w:pPr>
      <w:r w:rsidRPr="00CF3577">
        <w:rPr>
          <w:rFonts w:eastAsiaTheme="minorEastAsia"/>
        </w:rPr>
        <w:t xml:space="preserve">Table </w:t>
      </w:r>
      <w:r w:rsidR="00291638">
        <w:rPr>
          <w:rFonts w:eastAsiaTheme="minorEastAsia"/>
        </w:rPr>
        <w:t>below</w:t>
      </w:r>
      <w:r>
        <w:rPr>
          <w:rFonts w:eastAsiaTheme="minorEastAsia"/>
        </w:rPr>
        <w:t xml:space="preserve"> presents simulation results </w:t>
      </w:r>
      <w:r w:rsidR="006C6687">
        <w:rPr>
          <w:rFonts w:eastAsiaTheme="minorEastAsia"/>
        </w:rPr>
        <w:t>for the setup described above</w:t>
      </w:r>
      <w:r w:rsidR="0099115B">
        <w:rPr>
          <w:rFonts w:eastAsiaTheme="minorEastAsia"/>
        </w:rPr>
        <w:t xml:space="preserve"> fo</w:t>
      </w:r>
      <w:r w:rsidR="0099115B" w:rsidRPr="0099115B">
        <w:rPr>
          <w:rFonts w:eastAsiaTheme="minorEastAsia"/>
        </w:rPr>
        <w:t>r FR</w:t>
      </w:r>
      <w:r w:rsidR="005D18C2">
        <w:rPr>
          <w:rFonts w:eastAsiaTheme="minorEastAsia"/>
        </w:rPr>
        <w:t>2</w:t>
      </w:r>
      <w:r w:rsidR="0099115B" w:rsidRPr="0099115B">
        <w:rPr>
          <w:rFonts w:eastAsiaTheme="minorEastAsia"/>
        </w:rPr>
        <w:t xml:space="preserve"> to FR</w:t>
      </w:r>
      <w:r w:rsidR="005D18C2">
        <w:rPr>
          <w:rFonts w:eastAsiaTheme="minorEastAsia"/>
        </w:rPr>
        <w:t>2</w:t>
      </w:r>
      <w:r w:rsidR="0099115B" w:rsidRPr="0099115B">
        <w:rPr>
          <w:rFonts w:eastAsiaTheme="minorEastAsia"/>
        </w:rPr>
        <w:t xml:space="preserve"> intra-frequency temporal domain case </w:t>
      </w:r>
      <w:r w:rsidR="005D18C2">
        <w:rPr>
          <w:rFonts w:eastAsiaTheme="minorEastAsia"/>
        </w:rPr>
        <w:t xml:space="preserve">A </w:t>
      </w:r>
      <w:r w:rsidR="0099115B" w:rsidRPr="0099115B">
        <w:rPr>
          <w:rFonts w:eastAsiaTheme="minorEastAsia"/>
        </w:rPr>
        <w:t xml:space="preserve">(Case </w:t>
      </w:r>
      <w:r w:rsidR="005D18C2">
        <w:rPr>
          <w:rFonts w:eastAsiaTheme="minorEastAsia"/>
        </w:rPr>
        <w:t>4</w:t>
      </w:r>
      <w:r w:rsidR="0099115B" w:rsidRPr="0099115B">
        <w:rPr>
          <w:rFonts w:eastAsiaTheme="minorEastAsia"/>
        </w:rPr>
        <w:t>)</w:t>
      </w:r>
      <w:r w:rsidR="009A1DC8">
        <w:rPr>
          <w:rFonts w:eastAsiaTheme="minorEastAsia"/>
        </w:rPr>
        <w:t xml:space="preserve"> with</w:t>
      </w:r>
      <w:r w:rsidR="005D18C2">
        <w:rPr>
          <w:rFonts w:eastAsiaTheme="minorEastAsia"/>
        </w:rPr>
        <w:t>:</w:t>
      </w:r>
    </w:p>
    <w:p w14:paraId="2F46F1AA" w14:textId="77777777" w:rsidR="005D18C2" w:rsidRDefault="005D18C2" w:rsidP="005D18C2">
      <w:pPr>
        <w:pStyle w:val="ListParagraph"/>
        <w:numPr>
          <w:ilvl w:val="0"/>
          <w:numId w:val="14"/>
        </w:numPr>
        <w:spacing w:after="120"/>
        <w:ind w:leftChars="0" w:rightChars="100" w:right="200"/>
        <w:jc w:val="both"/>
        <w:rPr>
          <w:rFonts w:eastAsiaTheme="minorEastAsia"/>
        </w:rPr>
      </w:pPr>
      <w:r>
        <w:rPr>
          <w:rFonts w:eastAsiaTheme="minorEastAsia"/>
        </w:rPr>
        <w:t>UE speed=90km/h</w:t>
      </w:r>
    </w:p>
    <w:p w14:paraId="758964AF" w14:textId="69A61F2B" w:rsidR="005D18C2" w:rsidRDefault="005D18C2" w:rsidP="005D18C2">
      <w:pPr>
        <w:pStyle w:val="ListParagraph"/>
        <w:numPr>
          <w:ilvl w:val="0"/>
          <w:numId w:val="14"/>
        </w:numPr>
        <w:spacing w:after="120"/>
        <w:ind w:leftChars="0" w:rightChars="100" w:right="200"/>
        <w:jc w:val="both"/>
        <w:rPr>
          <w:rFonts w:eastAsiaTheme="minorEastAsia"/>
        </w:rPr>
      </w:pPr>
      <w:r w:rsidRPr="005D18C2">
        <w:rPr>
          <w:rFonts w:eastAsiaTheme="minorEastAsia"/>
        </w:rPr>
        <w:t>PW=320ms,</w:t>
      </w:r>
      <w:r w:rsidR="009A1DC8" w:rsidRPr="005D18C2">
        <w:rPr>
          <w:rFonts w:eastAsiaTheme="minorEastAsia"/>
        </w:rPr>
        <w:t xml:space="preserve"> OW=</w:t>
      </w:r>
      <w:r w:rsidRPr="005D18C2">
        <w:rPr>
          <w:rFonts w:eastAsiaTheme="minorEastAsia"/>
        </w:rPr>
        <w:t>3</w:t>
      </w:r>
      <w:r w:rsidR="009A1DC8" w:rsidRPr="005D18C2">
        <w:rPr>
          <w:rFonts w:eastAsiaTheme="minorEastAsia"/>
        </w:rPr>
        <w:t>20ms</w:t>
      </w:r>
    </w:p>
    <w:p w14:paraId="45CB51ED" w14:textId="2506992D" w:rsidR="00291638" w:rsidRDefault="005D18C2" w:rsidP="005D18C2">
      <w:pPr>
        <w:pStyle w:val="ListParagraph"/>
        <w:numPr>
          <w:ilvl w:val="0"/>
          <w:numId w:val="14"/>
        </w:numPr>
        <w:spacing w:after="120"/>
        <w:ind w:leftChars="0" w:rightChars="100" w:right="200"/>
        <w:jc w:val="both"/>
        <w:rPr>
          <w:rFonts w:eastAsiaTheme="minorEastAsia"/>
        </w:rPr>
      </w:pPr>
      <w:r>
        <w:rPr>
          <w:rFonts w:eastAsiaTheme="minorEastAsia"/>
        </w:rPr>
        <w:lastRenderedPageBreak/>
        <w:t xml:space="preserve">Two different values of </w:t>
      </w:r>
      <w:r w:rsidRPr="005D18C2">
        <w:rPr>
          <w:rFonts w:eastAsiaTheme="minorEastAsia"/>
        </w:rPr>
        <w:t>TTT</w:t>
      </w:r>
      <w:r>
        <w:rPr>
          <w:rFonts w:eastAsiaTheme="minorEastAsia"/>
        </w:rPr>
        <w:t xml:space="preserve">, i.e. </w:t>
      </w:r>
      <w:r w:rsidRPr="005D18C2">
        <w:rPr>
          <w:rFonts w:eastAsiaTheme="minorEastAsia"/>
        </w:rPr>
        <w:t>320</w:t>
      </w:r>
      <w:r w:rsidR="009A1DC8" w:rsidRPr="005D18C2">
        <w:rPr>
          <w:rFonts w:eastAsiaTheme="minorEastAsia"/>
        </w:rPr>
        <w:t>ms</w:t>
      </w:r>
      <w:r w:rsidR="004D102D">
        <w:rPr>
          <w:rFonts w:eastAsiaTheme="minorEastAsia"/>
        </w:rPr>
        <w:t xml:space="preserve">, </w:t>
      </w:r>
      <w:r w:rsidRPr="005D18C2">
        <w:rPr>
          <w:rFonts w:eastAsiaTheme="minorEastAsia"/>
        </w:rPr>
        <w:t>240ms</w:t>
      </w:r>
    </w:p>
    <w:p w14:paraId="1C9674F4" w14:textId="238D842A" w:rsidR="006A383D" w:rsidRPr="005D18C2" w:rsidRDefault="006A383D" w:rsidP="005D18C2">
      <w:pPr>
        <w:pStyle w:val="ListParagraph"/>
        <w:numPr>
          <w:ilvl w:val="0"/>
          <w:numId w:val="14"/>
        </w:numPr>
        <w:spacing w:after="120"/>
        <w:ind w:leftChars="0" w:rightChars="100" w:right="200"/>
        <w:jc w:val="both"/>
        <w:rPr>
          <w:rFonts w:eastAsiaTheme="minorEastAsia"/>
        </w:rPr>
      </w:pPr>
      <w:r>
        <w:rPr>
          <w:rFonts w:eastAsiaTheme="minorEastAsia"/>
        </w:rPr>
        <w:t>Two HO modelling options</w:t>
      </w:r>
      <w:r w:rsidR="009B5EA9">
        <w:rPr>
          <w:rFonts w:eastAsiaTheme="minorEastAsia"/>
        </w:rPr>
        <w:t>, as described above</w:t>
      </w:r>
    </w:p>
    <w:p w14:paraId="32F42506" w14:textId="6BEB6924" w:rsidR="00502F15" w:rsidRPr="00044096" w:rsidRDefault="00502F15" w:rsidP="00502F15">
      <w:pPr>
        <w:rPr>
          <w:rFonts w:eastAsiaTheme="minorEastAsia"/>
          <w:b/>
          <w:lang w:val="en-US"/>
        </w:rPr>
      </w:pPr>
      <w:r>
        <w:rPr>
          <w:rFonts w:eastAsiaTheme="minorEastAsia"/>
          <w:b/>
          <w:lang w:val="en-US"/>
        </w:rPr>
        <w:t xml:space="preserve">Table </w:t>
      </w:r>
      <w:r w:rsidR="00A93316">
        <w:rPr>
          <w:rFonts w:eastAsiaTheme="minorEastAsia"/>
          <w:b/>
          <w:lang w:val="en-US"/>
        </w:rPr>
        <w:t>4</w:t>
      </w:r>
      <w:r>
        <w:rPr>
          <w:rFonts w:eastAsiaTheme="minorEastAsia"/>
          <w:b/>
          <w:lang w:val="en-US"/>
        </w:rPr>
        <w:t xml:space="preserve">. Comparison of HO failure rate and total number of HO attempts </w:t>
      </w:r>
      <w:r w:rsidR="00C76134">
        <w:rPr>
          <w:rFonts w:eastAsiaTheme="minorEastAsia"/>
          <w:b/>
          <w:lang w:val="en-US"/>
        </w:rPr>
        <w:t>between</w:t>
      </w:r>
      <w:r>
        <w:rPr>
          <w:rFonts w:eastAsiaTheme="minorEastAsia"/>
          <w:b/>
          <w:lang w:val="en-US"/>
        </w:rPr>
        <w:t xml:space="preserve"> </w:t>
      </w:r>
      <w:r w:rsidRPr="00044096">
        <w:rPr>
          <w:rFonts w:eastAsiaTheme="minorEastAsia"/>
          <w:b/>
          <w:lang w:val="en-US"/>
        </w:rPr>
        <w:t>FR1 to FR1 intra-frequency temporal domain case B</w:t>
      </w:r>
      <w:r>
        <w:rPr>
          <w:rFonts w:eastAsiaTheme="minorEastAsia"/>
          <w:b/>
          <w:lang w:val="en-US"/>
        </w:rPr>
        <w:t xml:space="preserve"> prediction and non-AIML based measurements</w:t>
      </w:r>
      <w:r w:rsidR="00A93316">
        <w:rPr>
          <w:rFonts w:eastAsiaTheme="minorEastAsia"/>
          <w:b/>
          <w:lang w:val="en-US"/>
        </w:rPr>
        <w:t>, RSRP from 20 cells used as a noise</w:t>
      </w:r>
    </w:p>
    <w:tbl>
      <w:tblPr>
        <w:tblStyle w:val="TableGrid1"/>
        <w:tblW w:w="9629" w:type="dxa"/>
        <w:jc w:val="center"/>
        <w:tblLook w:val="0420" w:firstRow="1" w:lastRow="0" w:firstColumn="0" w:lastColumn="0" w:noHBand="0" w:noVBand="1"/>
      </w:tblPr>
      <w:tblGrid>
        <w:gridCol w:w="1176"/>
        <w:gridCol w:w="794"/>
        <w:gridCol w:w="937"/>
        <w:gridCol w:w="823"/>
        <w:gridCol w:w="1709"/>
        <w:gridCol w:w="771"/>
        <w:gridCol w:w="873"/>
        <w:gridCol w:w="850"/>
        <w:gridCol w:w="1696"/>
      </w:tblGrid>
      <w:tr w:rsidR="00741890" w:rsidRPr="00705F99" w14:paraId="29D3F77D" w14:textId="2FFA4E7E" w:rsidTr="00B44AD5">
        <w:trPr>
          <w:trHeight w:val="252"/>
          <w:jc w:val="center"/>
        </w:trPr>
        <w:tc>
          <w:tcPr>
            <w:tcW w:w="1176" w:type="dxa"/>
            <w:hideMark/>
          </w:tcPr>
          <w:p w14:paraId="54D2DDBA" w14:textId="77777777" w:rsidR="00741890" w:rsidRPr="002F059A" w:rsidRDefault="00741890" w:rsidP="006C6687">
            <w:pPr>
              <w:overflowPunct/>
              <w:autoSpaceDE/>
              <w:autoSpaceDN/>
              <w:adjustRightInd/>
              <w:spacing w:after="0"/>
              <w:textAlignment w:val="auto"/>
              <w:rPr>
                <w:rFonts w:ascii="Times New Roman" w:hAnsi="Times New Roman"/>
                <w:sz w:val="18"/>
                <w:lang w:val="en-US" w:eastAsia="en-US"/>
              </w:rPr>
            </w:pPr>
          </w:p>
        </w:tc>
        <w:tc>
          <w:tcPr>
            <w:tcW w:w="4263" w:type="dxa"/>
            <w:gridSpan w:val="4"/>
            <w:tcBorders>
              <w:right w:val="single" w:sz="18" w:space="0" w:color="auto"/>
            </w:tcBorders>
          </w:tcPr>
          <w:p w14:paraId="4104CFA6" w14:textId="3815D553" w:rsidR="00741890" w:rsidRPr="001A53F7" w:rsidRDefault="00741890" w:rsidP="006C6687">
            <w:pPr>
              <w:overflowPunct/>
              <w:autoSpaceDE/>
              <w:autoSpaceDN/>
              <w:adjustRightInd/>
              <w:spacing w:after="0"/>
              <w:jc w:val="center"/>
              <w:textAlignment w:val="auto"/>
              <w:rPr>
                <w:rFonts w:ascii="Times New Roman" w:hAnsi="Times New Roman"/>
                <w:b/>
                <w:bCs/>
                <w:kern w:val="24"/>
                <w:sz w:val="18"/>
                <w:lang w:val="en-US" w:eastAsia="en-US"/>
              </w:rPr>
            </w:pPr>
            <w:r w:rsidRPr="002F059A">
              <w:rPr>
                <w:b/>
                <w:bCs/>
                <w:kern w:val="24"/>
                <w:sz w:val="18"/>
                <w:lang w:val="en-US" w:eastAsia="en-US"/>
              </w:rPr>
              <w:t>TTT=320ms</w:t>
            </w:r>
          </w:p>
        </w:tc>
        <w:tc>
          <w:tcPr>
            <w:tcW w:w="4190" w:type="dxa"/>
            <w:gridSpan w:val="4"/>
            <w:tcBorders>
              <w:left w:val="single" w:sz="18" w:space="0" w:color="auto"/>
            </w:tcBorders>
          </w:tcPr>
          <w:p w14:paraId="30A1FA63" w14:textId="2A26A746" w:rsidR="00741890" w:rsidRPr="001A53F7" w:rsidRDefault="00741890" w:rsidP="006C6687">
            <w:pPr>
              <w:overflowPunct/>
              <w:autoSpaceDE/>
              <w:autoSpaceDN/>
              <w:adjustRightInd/>
              <w:spacing w:after="0"/>
              <w:jc w:val="center"/>
              <w:textAlignment w:val="auto"/>
              <w:rPr>
                <w:rFonts w:ascii="Times New Roman" w:hAnsi="Times New Roman"/>
                <w:b/>
                <w:bCs/>
                <w:kern w:val="24"/>
                <w:sz w:val="18"/>
                <w:lang w:val="en-US" w:eastAsia="en-US"/>
              </w:rPr>
            </w:pPr>
            <w:r w:rsidRPr="002F059A">
              <w:rPr>
                <w:b/>
                <w:bCs/>
                <w:kern w:val="24"/>
                <w:sz w:val="18"/>
                <w:lang w:val="en-US" w:eastAsia="en-US"/>
              </w:rPr>
              <w:t>TTT=240ms</w:t>
            </w:r>
          </w:p>
        </w:tc>
      </w:tr>
      <w:tr w:rsidR="00B44AD5" w:rsidRPr="00705F99" w14:paraId="667E0AA0" w14:textId="77777777" w:rsidTr="00B44AD5">
        <w:trPr>
          <w:trHeight w:val="457"/>
          <w:jc w:val="center"/>
        </w:trPr>
        <w:tc>
          <w:tcPr>
            <w:tcW w:w="1176" w:type="dxa"/>
          </w:tcPr>
          <w:p w14:paraId="5F637069" w14:textId="77777777" w:rsidR="00741890" w:rsidRPr="001A53F7" w:rsidRDefault="00741890" w:rsidP="00701A4A">
            <w:pPr>
              <w:overflowPunct/>
              <w:autoSpaceDE/>
              <w:autoSpaceDN/>
              <w:adjustRightInd/>
              <w:spacing w:after="0"/>
              <w:textAlignment w:val="auto"/>
              <w:rPr>
                <w:rFonts w:ascii="Times New Roman" w:hAnsi="Times New Roman"/>
                <w:sz w:val="18"/>
                <w:lang w:val="en-US" w:eastAsia="en-US"/>
              </w:rPr>
            </w:pPr>
          </w:p>
        </w:tc>
        <w:tc>
          <w:tcPr>
            <w:tcW w:w="794" w:type="dxa"/>
          </w:tcPr>
          <w:p w14:paraId="04DC666E" w14:textId="57EED417" w:rsidR="00741890" w:rsidRPr="001A53F7"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rFonts w:ascii="Times New Roman" w:hAnsi="Times New Roman"/>
                <w:b/>
                <w:bCs/>
                <w:kern w:val="24"/>
                <w:sz w:val="16"/>
                <w:lang w:val="en-US" w:eastAsia="en-US"/>
              </w:rPr>
              <w:t>HO failure rate</w:t>
            </w:r>
          </w:p>
        </w:tc>
        <w:tc>
          <w:tcPr>
            <w:tcW w:w="937" w:type="dxa"/>
          </w:tcPr>
          <w:p w14:paraId="16524E39" w14:textId="7CE013E3" w:rsidR="00741890" w:rsidRPr="001A53F7"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rFonts w:ascii="Times New Roman" w:hAnsi="Times New Roman"/>
                <w:b/>
                <w:bCs/>
                <w:kern w:val="24"/>
                <w:sz w:val="16"/>
                <w:lang w:val="en-US" w:eastAsia="en-US"/>
              </w:rPr>
              <w:t>Total number of HO attempts per UE per second</w:t>
            </w:r>
          </w:p>
        </w:tc>
        <w:tc>
          <w:tcPr>
            <w:tcW w:w="823" w:type="dxa"/>
          </w:tcPr>
          <w:p w14:paraId="5289DB5B" w14:textId="5B949C3B" w:rsidR="00741890" w:rsidRPr="00F50A89" w:rsidRDefault="00C10809"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rFonts w:ascii="Times New Roman" w:hAnsi="Times New Roman"/>
                <w:b/>
                <w:bCs/>
                <w:kern w:val="24"/>
                <w:sz w:val="16"/>
                <w:lang w:val="en-US" w:eastAsia="en-US"/>
              </w:rPr>
              <w:t>Total number of HOF per UE per second</w:t>
            </w:r>
          </w:p>
        </w:tc>
        <w:tc>
          <w:tcPr>
            <w:tcW w:w="1709" w:type="dxa"/>
            <w:tcBorders>
              <w:right w:val="single" w:sz="18" w:space="0" w:color="auto"/>
            </w:tcBorders>
          </w:tcPr>
          <w:p w14:paraId="6E8FA663" w14:textId="1971C37D" w:rsidR="00741890" w:rsidRPr="002F059A"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FE64FB">
              <w:rPr>
                <w:rFonts w:ascii="Times New Roman" w:hAnsi="Times New Roman"/>
                <w:b/>
                <w:bCs/>
                <w:kern w:val="24"/>
                <w:sz w:val="16"/>
                <w:lang w:val="en-US" w:eastAsia="en-US"/>
              </w:rPr>
              <w:t xml:space="preserve">F1 score </w:t>
            </w:r>
            <w:r w:rsidR="00626B40" w:rsidRPr="00FE64FB">
              <w:rPr>
                <w:rFonts w:ascii="Times New Roman" w:hAnsi="Times New Roman"/>
                <w:b/>
                <w:bCs/>
                <w:kern w:val="24"/>
                <w:sz w:val="16"/>
                <w:lang w:val="en-US" w:eastAsia="en-US"/>
              </w:rPr>
              <w:t>of</w:t>
            </w:r>
            <w:r w:rsidRPr="00FE64FB">
              <w:rPr>
                <w:rFonts w:ascii="Times New Roman" w:hAnsi="Times New Roman"/>
                <w:b/>
                <w:bCs/>
                <w:kern w:val="24"/>
                <w:sz w:val="16"/>
                <w:lang w:val="en-US" w:eastAsia="en-US"/>
              </w:rPr>
              <w:t xml:space="preserve"> measurement event prediction</w:t>
            </w:r>
          </w:p>
        </w:tc>
        <w:tc>
          <w:tcPr>
            <w:tcW w:w="771" w:type="dxa"/>
            <w:tcBorders>
              <w:left w:val="single" w:sz="18" w:space="0" w:color="auto"/>
            </w:tcBorders>
          </w:tcPr>
          <w:p w14:paraId="17EF2153" w14:textId="25D1A9C7" w:rsidR="00741890" w:rsidRPr="002F059A"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b/>
                <w:bCs/>
                <w:kern w:val="24"/>
                <w:sz w:val="16"/>
                <w:lang w:val="en-US" w:eastAsia="en-US"/>
              </w:rPr>
              <w:t>HO failure rate</w:t>
            </w:r>
          </w:p>
        </w:tc>
        <w:tc>
          <w:tcPr>
            <w:tcW w:w="873" w:type="dxa"/>
          </w:tcPr>
          <w:p w14:paraId="4BDE1C48" w14:textId="776B02F8" w:rsidR="00741890" w:rsidRPr="002F059A"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b/>
                <w:bCs/>
                <w:kern w:val="24"/>
                <w:sz w:val="16"/>
                <w:lang w:val="en-US" w:eastAsia="en-US"/>
              </w:rPr>
              <w:t>Total number of HO attempts per UE per second</w:t>
            </w:r>
          </w:p>
        </w:tc>
        <w:tc>
          <w:tcPr>
            <w:tcW w:w="850" w:type="dxa"/>
          </w:tcPr>
          <w:p w14:paraId="185302A2" w14:textId="6D7C81F9" w:rsidR="00741890" w:rsidRPr="002F059A" w:rsidRDefault="00026E2B"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b/>
                <w:bCs/>
                <w:kern w:val="24"/>
                <w:sz w:val="16"/>
                <w:lang w:val="en-US" w:eastAsia="en-US"/>
              </w:rPr>
              <w:t>Total number of HOF per UE per second</w:t>
            </w:r>
          </w:p>
        </w:tc>
        <w:tc>
          <w:tcPr>
            <w:tcW w:w="1696" w:type="dxa"/>
          </w:tcPr>
          <w:p w14:paraId="22EFD9AA" w14:textId="720F86E1" w:rsidR="00741890" w:rsidRPr="002F059A" w:rsidRDefault="00741890" w:rsidP="00701A4A">
            <w:pPr>
              <w:overflowPunct/>
              <w:autoSpaceDE/>
              <w:autoSpaceDN/>
              <w:adjustRightInd/>
              <w:spacing w:after="0"/>
              <w:jc w:val="center"/>
              <w:textAlignment w:val="auto"/>
              <w:rPr>
                <w:rFonts w:ascii="Times New Roman" w:hAnsi="Times New Roman"/>
                <w:b/>
                <w:bCs/>
                <w:kern w:val="24"/>
                <w:sz w:val="16"/>
                <w:lang w:val="en-US" w:eastAsia="en-US"/>
              </w:rPr>
            </w:pPr>
            <w:r w:rsidRPr="002F059A">
              <w:rPr>
                <w:b/>
                <w:bCs/>
                <w:kern w:val="24"/>
                <w:sz w:val="16"/>
                <w:lang w:val="en-US" w:eastAsia="en-US"/>
              </w:rPr>
              <w:t xml:space="preserve">F1 score </w:t>
            </w:r>
            <w:r w:rsidR="00626B40" w:rsidRPr="002F059A">
              <w:rPr>
                <w:b/>
                <w:bCs/>
                <w:kern w:val="24"/>
                <w:sz w:val="16"/>
                <w:lang w:val="en-US" w:eastAsia="en-US"/>
              </w:rPr>
              <w:t>of</w:t>
            </w:r>
            <w:r w:rsidRPr="002F059A">
              <w:rPr>
                <w:b/>
                <w:bCs/>
                <w:kern w:val="24"/>
                <w:sz w:val="16"/>
                <w:lang w:val="en-US" w:eastAsia="en-US"/>
              </w:rPr>
              <w:t xml:space="preserve"> measurement event prediction</w:t>
            </w:r>
          </w:p>
        </w:tc>
      </w:tr>
      <w:tr w:rsidR="00B44AD5" w:rsidRPr="00705F99" w14:paraId="3034479E" w14:textId="510F6DCC" w:rsidTr="00BA0AF3">
        <w:trPr>
          <w:trHeight w:val="284"/>
          <w:jc w:val="center"/>
        </w:trPr>
        <w:tc>
          <w:tcPr>
            <w:tcW w:w="1176" w:type="dxa"/>
            <w:hideMark/>
          </w:tcPr>
          <w:p w14:paraId="424D3040" w14:textId="7D768755" w:rsidR="00741890" w:rsidRPr="00F50A89" w:rsidRDefault="00741890" w:rsidP="00701A4A">
            <w:pPr>
              <w:overflowPunct/>
              <w:autoSpaceDE/>
              <w:autoSpaceDN/>
              <w:adjustRightInd/>
              <w:spacing w:after="0"/>
              <w:jc w:val="center"/>
              <w:textAlignment w:val="auto"/>
              <w:rPr>
                <w:rFonts w:ascii="Times New Roman" w:hAnsi="Times New Roman"/>
                <w:sz w:val="18"/>
                <w:lang w:val="en-US" w:eastAsia="en-US"/>
              </w:rPr>
            </w:pPr>
            <w:r w:rsidRPr="002F059A">
              <w:rPr>
                <w:rFonts w:ascii="Times New Roman" w:hAnsi="Times New Roman"/>
                <w:kern w:val="24"/>
                <w:sz w:val="18"/>
                <w:lang w:val="en-US" w:eastAsia="en-US"/>
              </w:rPr>
              <w:t>Baseline, i.e. KPIs when actual measurement results are used</w:t>
            </w:r>
          </w:p>
        </w:tc>
        <w:tc>
          <w:tcPr>
            <w:tcW w:w="794" w:type="dxa"/>
            <w:vAlign w:val="center"/>
          </w:tcPr>
          <w:p w14:paraId="2640D866" w14:textId="3247FD6F" w:rsidR="00741890" w:rsidRPr="00FE64FB"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FE64FB">
              <w:rPr>
                <w:rFonts w:ascii="Times New Roman" w:hAnsi="Times New Roman"/>
                <w:bCs/>
                <w:kern w:val="24"/>
                <w:sz w:val="18"/>
                <w:lang w:val="en-US" w:eastAsia="en-US"/>
              </w:rPr>
              <w:t>70.58%</w:t>
            </w:r>
          </w:p>
        </w:tc>
        <w:tc>
          <w:tcPr>
            <w:tcW w:w="937" w:type="dxa"/>
            <w:vAlign w:val="center"/>
          </w:tcPr>
          <w:p w14:paraId="311462F0" w14:textId="1BD51725"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0.594</w:t>
            </w:r>
          </w:p>
        </w:tc>
        <w:tc>
          <w:tcPr>
            <w:tcW w:w="823" w:type="dxa"/>
            <w:vAlign w:val="center"/>
          </w:tcPr>
          <w:p w14:paraId="5BB22D45" w14:textId="51D39324"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0.419</w:t>
            </w:r>
          </w:p>
        </w:tc>
        <w:tc>
          <w:tcPr>
            <w:tcW w:w="1709" w:type="dxa"/>
            <w:tcBorders>
              <w:right w:val="single" w:sz="18" w:space="0" w:color="auto"/>
            </w:tcBorders>
            <w:vAlign w:val="center"/>
          </w:tcPr>
          <w:p w14:paraId="1C91EF64" w14:textId="55652075" w:rsidR="00741890" w:rsidRPr="002F059A" w:rsidRDefault="00AA27E3"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N/A</w:t>
            </w:r>
          </w:p>
        </w:tc>
        <w:tc>
          <w:tcPr>
            <w:tcW w:w="771" w:type="dxa"/>
            <w:tcBorders>
              <w:left w:val="single" w:sz="18" w:space="0" w:color="auto"/>
            </w:tcBorders>
            <w:vAlign w:val="center"/>
          </w:tcPr>
          <w:p w14:paraId="20BA9008" w14:textId="45FC7BE7"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73.68%</w:t>
            </w:r>
          </w:p>
        </w:tc>
        <w:tc>
          <w:tcPr>
            <w:tcW w:w="873" w:type="dxa"/>
            <w:vAlign w:val="center"/>
          </w:tcPr>
          <w:p w14:paraId="2E5F80CF" w14:textId="19757FF5"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0.663</w:t>
            </w:r>
          </w:p>
        </w:tc>
        <w:tc>
          <w:tcPr>
            <w:tcW w:w="850" w:type="dxa"/>
            <w:vAlign w:val="center"/>
          </w:tcPr>
          <w:p w14:paraId="58D13811" w14:textId="3D0CB404"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0.489</w:t>
            </w:r>
          </w:p>
        </w:tc>
        <w:tc>
          <w:tcPr>
            <w:tcW w:w="1696" w:type="dxa"/>
            <w:vAlign w:val="center"/>
          </w:tcPr>
          <w:p w14:paraId="57F41009" w14:textId="7E18D23C" w:rsidR="00741890" w:rsidRPr="002F059A" w:rsidRDefault="00210B4C"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N/A</w:t>
            </w:r>
          </w:p>
        </w:tc>
      </w:tr>
      <w:tr w:rsidR="00B44AD5" w:rsidRPr="00705F99" w14:paraId="3A259B97" w14:textId="49181CCF" w:rsidTr="00BA0AF3">
        <w:trPr>
          <w:trHeight w:val="284"/>
          <w:jc w:val="center"/>
        </w:trPr>
        <w:tc>
          <w:tcPr>
            <w:tcW w:w="1176" w:type="dxa"/>
          </w:tcPr>
          <w:p w14:paraId="6E94ECC7" w14:textId="48C19DD8" w:rsidR="00741890" w:rsidRPr="00FE64FB" w:rsidRDefault="00741890" w:rsidP="00A91794">
            <w:pPr>
              <w:overflowPunct/>
              <w:autoSpaceDE/>
              <w:autoSpaceDN/>
              <w:adjustRightInd/>
              <w:spacing w:after="0"/>
              <w:jc w:val="center"/>
              <w:textAlignment w:val="auto"/>
              <w:rPr>
                <w:rFonts w:ascii="Times New Roman" w:hAnsi="Times New Roman"/>
                <w:kern w:val="24"/>
                <w:sz w:val="18"/>
                <w:lang w:val="en-US" w:eastAsia="en-US"/>
              </w:rPr>
            </w:pPr>
            <w:r w:rsidRPr="002F059A">
              <w:rPr>
                <w:rFonts w:ascii="Times New Roman" w:hAnsi="Times New Roman"/>
                <w:kern w:val="24"/>
                <w:sz w:val="18"/>
                <w:lang w:val="en-US" w:eastAsia="en-US"/>
              </w:rPr>
              <w:t>AIML predicted measurement results</w:t>
            </w:r>
            <w:r w:rsidRPr="00F50A89">
              <w:rPr>
                <w:rFonts w:ascii="Times New Roman" w:hAnsi="Times New Roman"/>
                <w:kern w:val="24"/>
                <w:sz w:val="18"/>
                <w:lang w:val="en-US" w:eastAsia="en-US"/>
              </w:rPr>
              <w:t xml:space="preserve"> with HO option 1</w:t>
            </w:r>
          </w:p>
        </w:tc>
        <w:tc>
          <w:tcPr>
            <w:tcW w:w="794" w:type="dxa"/>
            <w:vAlign w:val="center"/>
          </w:tcPr>
          <w:p w14:paraId="624C6D9A" w14:textId="37B0D73E"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70.58%</w:t>
            </w:r>
          </w:p>
        </w:tc>
        <w:tc>
          <w:tcPr>
            <w:tcW w:w="937" w:type="dxa"/>
            <w:vAlign w:val="center"/>
          </w:tcPr>
          <w:p w14:paraId="6A92E699" w14:textId="2DA525B7"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0.594</w:t>
            </w:r>
          </w:p>
        </w:tc>
        <w:tc>
          <w:tcPr>
            <w:tcW w:w="823" w:type="dxa"/>
            <w:vAlign w:val="center"/>
          </w:tcPr>
          <w:p w14:paraId="01DFEF30" w14:textId="7AEC8D20"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0.419</w:t>
            </w:r>
          </w:p>
        </w:tc>
        <w:tc>
          <w:tcPr>
            <w:tcW w:w="1709" w:type="dxa"/>
            <w:tcBorders>
              <w:right w:val="single" w:sz="18" w:space="0" w:color="auto"/>
            </w:tcBorders>
            <w:vAlign w:val="center"/>
          </w:tcPr>
          <w:p w14:paraId="181143B8" w14:textId="77777777" w:rsidR="00AA27E3" w:rsidRPr="002F059A" w:rsidRDefault="00AA27E3"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0.32 (ETD=80ms)</w:t>
            </w:r>
          </w:p>
          <w:p w14:paraId="0F91CF9C" w14:textId="695F9D9E" w:rsidR="00741890" w:rsidRPr="002F059A" w:rsidRDefault="00AA27E3"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0.52 (ETD=160ms)</w:t>
            </w:r>
          </w:p>
        </w:tc>
        <w:tc>
          <w:tcPr>
            <w:tcW w:w="771" w:type="dxa"/>
            <w:tcBorders>
              <w:left w:val="single" w:sz="18" w:space="0" w:color="auto"/>
            </w:tcBorders>
            <w:vAlign w:val="center"/>
          </w:tcPr>
          <w:p w14:paraId="29158896" w14:textId="625A38B5"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73.68%</w:t>
            </w:r>
          </w:p>
        </w:tc>
        <w:tc>
          <w:tcPr>
            <w:tcW w:w="873" w:type="dxa"/>
            <w:vAlign w:val="center"/>
          </w:tcPr>
          <w:p w14:paraId="679F53C9" w14:textId="02C4AA63"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0.663</w:t>
            </w:r>
          </w:p>
        </w:tc>
        <w:tc>
          <w:tcPr>
            <w:tcW w:w="850" w:type="dxa"/>
            <w:vAlign w:val="center"/>
          </w:tcPr>
          <w:p w14:paraId="3768A2F5" w14:textId="45329E0C"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0.489</w:t>
            </w:r>
          </w:p>
        </w:tc>
        <w:tc>
          <w:tcPr>
            <w:tcW w:w="1696" w:type="dxa"/>
            <w:vAlign w:val="center"/>
          </w:tcPr>
          <w:p w14:paraId="19464F32" w14:textId="7D468B63" w:rsidR="00210B4C" w:rsidRPr="002F059A" w:rsidRDefault="00210B4C"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0.56 (ETD=80ms)</w:t>
            </w:r>
          </w:p>
          <w:p w14:paraId="3D160E7C" w14:textId="3F85E3E5" w:rsidR="00741890" w:rsidRPr="002F059A" w:rsidRDefault="00210B4C"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0.87 (ETD=160ms)</w:t>
            </w:r>
          </w:p>
        </w:tc>
      </w:tr>
      <w:tr w:rsidR="00B44AD5" w:rsidRPr="00705F99" w14:paraId="74F2C8F8" w14:textId="77777777" w:rsidTr="00BA0AF3">
        <w:trPr>
          <w:trHeight w:val="284"/>
          <w:jc w:val="center"/>
        </w:trPr>
        <w:tc>
          <w:tcPr>
            <w:tcW w:w="1176" w:type="dxa"/>
          </w:tcPr>
          <w:p w14:paraId="6BDC5E32" w14:textId="5FDA146B" w:rsidR="00741890" w:rsidRPr="001A53F7" w:rsidRDefault="00741890" w:rsidP="00A91794">
            <w:pPr>
              <w:overflowPunct/>
              <w:autoSpaceDE/>
              <w:autoSpaceDN/>
              <w:adjustRightInd/>
              <w:spacing w:after="0"/>
              <w:jc w:val="center"/>
              <w:textAlignment w:val="auto"/>
              <w:rPr>
                <w:rFonts w:ascii="Times New Roman" w:hAnsi="Times New Roman"/>
                <w:kern w:val="24"/>
                <w:sz w:val="18"/>
                <w:lang w:val="en-US" w:eastAsia="en-US"/>
              </w:rPr>
            </w:pPr>
            <w:r w:rsidRPr="002F059A">
              <w:rPr>
                <w:rFonts w:ascii="Times New Roman" w:hAnsi="Times New Roman"/>
                <w:kern w:val="24"/>
                <w:sz w:val="18"/>
                <w:lang w:val="en-US" w:eastAsia="en-US"/>
              </w:rPr>
              <w:t>AIML predicted measurement results</w:t>
            </w:r>
            <w:r w:rsidRPr="00F50A89">
              <w:rPr>
                <w:rFonts w:ascii="Times New Roman" w:hAnsi="Times New Roman"/>
                <w:kern w:val="24"/>
                <w:sz w:val="18"/>
                <w:lang w:val="en-US" w:eastAsia="en-US"/>
              </w:rPr>
              <w:t xml:space="preserve"> with HO option 2</w:t>
            </w:r>
          </w:p>
        </w:tc>
        <w:tc>
          <w:tcPr>
            <w:tcW w:w="794" w:type="dxa"/>
            <w:vAlign w:val="center"/>
          </w:tcPr>
          <w:p w14:paraId="00169BC1" w14:textId="2DD0396C" w:rsidR="00741890" w:rsidRPr="001A53F7"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25%</w:t>
            </w:r>
          </w:p>
        </w:tc>
        <w:tc>
          <w:tcPr>
            <w:tcW w:w="937" w:type="dxa"/>
            <w:vAlign w:val="center"/>
          </w:tcPr>
          <w:p w14:paraId="7E61EAB0" w14:textId="4488BC28" w:rsidR="00741890" w:rsidRPr="001A53F7"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0.419</w:t>
            </w:r>
          </w:p>
        </w:tc>
        <w:tc>
          <w:tcPr>
            <w:tcW w:w="823" w:type="dxa"/>
            <w:vAlign w:val="center"/>
          </w:tcPr>
          <w:p w14:paraId="03C0AF97" w14:textId="333D92EE" w:rsidR="00741890" w:rsidRPr="002F059A" w:rsidRDefault="00991932"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rFonts w:ascii="Times New Roman" w:hAnsi="Times New Roman"/>
                <w:bCs/>
                <w:kern w:val="24"/>
                <w:sz w:val="18"/>
                <w:lang w:val="en-US" w:eastAsia="en-US"/>
              </w:rPr>
              <w:t>0.105</w:t>
            </w:r>
          </w:p>
        </w:tc>
        <w:tc>
          <w:tcPr>
            <w:tcW w:w="1709" w:type="dxa"/>
            <w:tcBorders>
              <w:right w:val="single" w:sz="18" w:space="0" w:color="auto"/>
            </w:tcBorders>
            <w:vAlign w:val="center"/>
          </w:tcPr>
          <w:p w14:paraId="35411EA8" w14:textId="77777777" w:rsidR="00AA27E3" w:rsidRPr="007E5C50" w:rsidRDefault="00AA27E3" w:rsidP="00BA0AF3">
            <w:pPr>
              <w:overflowPunct/>
              <w:autoSpaceDE/>
              <w:autoSpaceDN/>
              <w:adjustRightInd/>
              <w:spacing w:after="0"/>
              <w:jc w:val="center"/>
              <w:textAlignment w:val="auto"/>
              <w:rPr>
                <w:rFonts w:ascii="Times New Roman" w:hAnsi="Times New Roman"/>
                <w:bCs/>
                <w:kern w:val="24"/>
                <w:sz w:val="18"/>
                <w:lang w:val="en-US" w:eastAsia="en-US"/>
              </w:rPr>
            </w:pPr>
            <w:r w:rsidRPr="00F50A89">
              <w:rPr>
                <w:rFonts w:ascii="Times New Roman" w:hAnsi="Times New Roman"/>
                <w:bCs/>
                <w:kern w:val="24"/>
                <w:sz w:val="18"/>
                <w:lang w:val="en-US" w:eastAsia="en-US"/>
              </w:rPr>
              <w:t>0.32 (ETD=80ms)</w:t>
            </w:r>
          </w:p>
          <w:p w14:paraId="0D756F42" w14:textId="15FECE85" w:rsidR="00741890" w:rsidRPr="002F059A" w:rsidRDefault="00AA27E3" w:rsidP="00BA0AF3">
            <w:pPr>
              <w:overflowPunct/>
              <w:autoSpaceDE/>
              <w:autoSpaceDN/>
              <w:adjustRightInd/>
              <w:spacing w:after="0"/>
              <w:jc w:val="center"/>
              <w:textAlignment w:val="auto"/>
              <w:rPr>
                <w:rFonts w:ascii="Times New Roman" w:hAnsi="Times New Roman"/>
                <w:bCs/>
                <w:kern w:val="24"/>
                <w:sz w:val="18"/>
                <w:lang w:val="en-US" w:eastAsia="en-US"/>
              </w:rPr>
            </w:pPr>
            <w:r w:rsidRPr="00FE64FB">
              <w:rPr>
                <w:rFonts w:ascii="Times New Roman" w:hAnsi="Times New Roman"/>
                <w:bCs/>
                <w:kern w:val="24"/>
                <w:sz w:val="18"/>
                <w:lang w:val="en-US" w:eastAsia="en-US"/>
              </w:rPr>
              <w:t>0.52 (E</w:t>
            </w:r>
            <w:r w:rsidR="0031339C" w:rsidRPr="00FE64FB">
              <w:rPr>
                <w:rFonts w:ascii="Times New Roman" w:hAnsi="Times New Roman"/>
                <w:bCs/>
                <w:kern w:val="24"/>
                <w:sz w:val="18"/>
                <w:lang w:val="en-US" w:eastAsia="en-US"/>
              </w:rPr>
              <w:t>T</w:t>
            </w:r>
            <w:r w:rsidRPr="00FE64FB">
              <w:rPr>
                <w:rFonts w:ascii="Times New Roman" w:hAnsi="Times New Roman"/>
                <w:bCs/>
                <w:kern w:val="24"/>
                <w:sz w:val="18"/>
                <w:lang w:val="en-US" w:eastAsia="en-US"/>
              </w:rPr>
              <w:t>D=160ms)</w:t>
            </w:r>
          </w:p>
        </w:tc>
        <w:tc>
          <w:tcPr>
            <w:tcW w:w="771" w:type="dxa"/>
            <w:tcBorders>
              <w:left w:val="single" w:sz="18" w:space="0" w:color="auto"/>
            </w:tcBorders>
            <w:vAlign w:val="center"/>
          </w:tcPr>
          <w:p w14:paraId="6D39E7E7" w14:textId="5DC2F84C"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22.22%</w:t>
            </w:r>
          </w:p>
        </w:tc>
        <w:tc>
          <w:tcPr>
            <w:tcW w:w="873" w:type="dxa"/>
            <w:vAlign w:val="center"/>
          </w:tcPr>
          <w:p w14:paraId="61827A35" w14:textId="3699B6DD"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0.628</w:t>
            </w:r>
          </w:p>
        </w:tc>
        <w:tc>
          <w:tcPr>
            <w:tcW w:w="850" w:type="dxa"/>
            <w:vAlign w:val="center"/>
          </w:tcPr>
          <w:p w14:paraId="743EC9EF" w14:textId="775CD30C" w:rsidR="00741890" w:rsidRPr="002F059A" w:rsidRDefault="00CF0325"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0.14</w:t>
            </w:r>
          </w:p>
        </w:tc>
        <w:tc>
          <w:tcPr>
            <w:tcW w:w="1696" w:type="dxa"/>
            <w:vAlign w:val="center"/>
          </w:tcPr>
          <w:p w14:paraId="5E177117" w14:textId="77777777" w:rsidR="00210B4C" w:rsidRPr="002F059A" w:rsidRDefault="00210B4C"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0.56 (ETD=80ms)</w:t>
            </w:r>
          </w:p>
          <w:p w14:paraId="659735AB" w14:textId="445A75BE" w:rsidR="00741890" w:rsidRPr="002F059A" w:rsidRDefault="00210B4C" w:rsidP="00BA0AF3">
            <w:pPr>
              <w:overflowPunct/>
              <w:autoSpaceDE/>
              <w:autoSpaceDN/>
              <w:adjustRightInd/>
              <w:spacing w:after="0"/>
              <w:jc w:val="center"/>
              <w:textAlignment w:val="auto"/>
              <w:rPr>
                <w:rFonts w:ascii="Times New Roman" w:hAnsi="Times New Roman"/>
                <w:bCs/>
                <w:kern w:val="24"/>
                <w:sz w:val="18"/>
                <w:lang w:val="en-US" w:eastAsia="en-US"/>
              </w:rPr>
            </w:pPr>
            <w:r w:rsidRPr="002F059A">
              <w:rPr>
                <w:bCs/>
                <w:kern w:val="24"/>
                <w:sz w:val="18"/>
                <w:lang w:val="en-US" w:eastAsia="en-US"/>
              </w:rPr>
              <w:t>0.87 (ETD=160ms)</w:t>
            </w:r>
          </w:p>
        </w:tc>
      </w:tr>
    </w:tbl>
    <w:p w14:paraId="0F8773D8" w14:textId="554428A8" w:rsidR="006C6687" w:rsidRDefault="006C6687" w:rsidP="00EF4C42">
      <w:pPr>
        <w:spacing w:after="120"/>
        <w:ind w:rightChars="100" w:right="200"/>
        <w:jc w:val="both"/>
        <w:rPr>
          <w:rFonts w:eastAsiaTheme="minorEastAsia"/>
        </w:rPr>
      </w:pPr>
    </w:p>
    <w:p w14:paraId="04A46EAA" w14:textId="27A8A9B7" w:rsidR="00F01341" w:rsidRDefault="00F01341" w:rsidP="00EF4C42">
      <w:pPr>
        <w:spacing w:after="120"/>
        <w:ind w:rightChars="100" w:right="200"/>
        <w:jc w:val="both"/>
        <w:rPr>
          <w:rFonts w:eastAsiaTheme="minorEastAsia"/>
        </w:rPr>
      </w:pPr>
      <w:r>
        <w:rPr>
          <w:rFonts w:eastAsiaTheme="minorEastAsia"/>
        </w:rPr>
        <w:t xml:space="preserve">Very high HOF rates result from the fact that RAN2 agreed to use the RSRP from all 20 neighbouring cells as a noise. These KPIs </w:t>
      </w:r>
      <w:r w:rsidR="00A93316">
        <w:rPr>
          <w:rFonts w:eastAsiaTheme="minorEastAsia"/>
        </w:rPr>
        <w:t>are decreased significantly in case only 3 cells are used as a noise during metric calculations, as depicted in Table 5.</w:t>
      </w:r>
    </w:p>
    <w:p w14:paraId="02FB8FA5" w14:textId="654EE35F" w:rsidR="00A93316" w:rsidRPr="00044096" w:rsidRDefault="00A93316" w:rsidP="00A93316">
      <w:pPr>
        <w:rPr>
          <w:rFonts w:eastAsiaTheme="minorEastAsia"/>
          <w:b/>
          <w:lang w:val="en-US"/>
        </w:rPr>
      </w:pPr>
      <w:r>
        <w:rPr>
          <w:rFonts w:eastAsiaTheme="minorEastAsia"/>
          <w:b/>
          <w:lang w:val="en-US"/>
        </w:rPr>
        <w:t xml:space="preserve">Table 5. Comparison of HO failure rate and total number of HO attempts between </w:t>
      </w:r>
      <w:r w:rsidRPr="00044096">
        <w:rPr>
          <w:rFonts w:eastAsiaTheme="minorEastAsia"/>
          <w:b/>
          <w:lang w:val="en-US"/>
        </w:rPr>
        <w:t>FR1 to FR1 intra-frequency temporal domain case B</w:t>
      </w:r>
      <w:r>
        <w:rPr>
          <w:rFonts w:eastAsiaTheme="minorEastAsia"/>
          <w:b/>
          <w:lang w:val="en-US"/>
        </w:rPr>
        <w:t xml:space="preserve"> prediction and non-AIML based measurements,</w:t>
      </w:r>
      <w:r w:rsidR="00934400">
        <w:rPr>
          <w:rFonts w:eastAsiaTheme="minorEastAsia"/>
          <w:b/>
          <w:lang w:val="en-US"/>
        </w:rPr>
        <w:t xml:space="preserve"> </w:t>
      </w:r>
      <w:r>
        <w:rPr>
          <w:rFonts w:eastAsiaTheme="minorEastAsia"/>
          <w:b/>
          <w:lang w:val="en-US"/>
        </w:rPr>
        <w:t xml:space="preserve">RSRP from </w:t>
      </w:r>
      <w:r w:rsidR="00934400">
        <w:rPr>
          <w:rFonts w:eastAsiaTheme="minorEastAsia"/>
          <w:b/>
          <w:lang w:val="en-US"/>
        </w:rPr>
        <w:t xml:space="preserve">3 </w:t>
      </w:r>
      <w:r>
        <w:rPr>
          <w:rFonts w:eastAsiaTheme="minorEastAsia"/>
          <w:b/>
          <w:lang w:val="en-US"/>
        </w:rPr>
        <w:t>cells used as a noise</w:t>
      </w:r>
    </w:p>
    <w:tbl>
      <w:tblPr>
        <w:tblStyle w:val="TableGrid1"/>
        <w:tblW w:w="9629" w:type="dxa"/>
        <w:jc w:val="center"/>
        <w:tblLook w:val="0420" w:firstRow="1" w:lastRow="0" w:firstColumn="0" w:lastColumn="0" w:noHBand="0" w:noVBand="1"/>
      </w:tblPr>
      <w:tblGrid>
        <w:gridCol w:w="1176"/>
        <w:gridCol w:w="794"/>
        <w:gridCol w:w="937"/>
        <w:gridCol w:w="823"/>
        <w:gridCol w:w="1709"/>
        <w:gridCol w:w="771"/>
        <w:gridCol w:w="873"/>
        <w:gridCol w:w="850"/>
        <w:gridCol w:w="1696"/>
      </w:tblGrid>
      <w:tr w:rsidR="00A93316" w:rsidRPr="00705F99" w14:paraId="2DDB2FE9" w14:textId="77777777" w:rsidTr="00035CB2">
        <w:trPr>
          <w:trHeight w:val="252"/>
          <w:jc w:val="center"/>
        </w:trPr>
        <w:tc>
          <w:tcPr>
            <w:tcW w:w="1176" w:type="dxa"/>
            <w:hideMark/>
          </w:tcPr>
          <w:p w14:paraId="07C253D5" w14:textId="77777777" w:rsidR="00A93316" w:rsidRPr="00AB27F8" w:rsidRDefault="00A93316" w:rsidP="00035CB2">
            <w:pPr>
              <w:overflowPunct/>
              <w:autoSpaceDE/>
              <w:autoSpaceDN/>
              <w:adjustRightInd/>
              <w:spacing w:after="0"/>
              <w:textAlignment w:val="auto"/>
              <w:rPr>
                <w:rFonts w:ascii="Times New Roman" w:hAnsi="Times New Roman"/>
                <w:sz w:val="18"/>
                <w:lang w:val="en-US" w:eastAsia="en-US"/>
              </w:rPr>
            </w:pPr>
          </w:p>
        </w:tc>
        <w:tc>
          <w:tcPr>
            <w:tcW w:w="4263" w:type="dxa"/>
            <w:gridSpan w:val="4"/>
            <w:tcBorders>
              <w:right w:val="single" w:sz="18" w:space="0" w:color="auto"/>
            </w:tcBorders>
          </w:tcPr>
          <w:p w14:paraId="4516D046" w14:textId="77777777" w:rsidR="00A93316" w:rsidRPr="001A53F7" w:rsidRDefault="00A93316" w:rsidP="00035CB2">
            <w:pPr>
              <w:overflowPunct/>
              <w:autoSpaceDE/>
              <w:autoSpaceDN/>
              <w:adjustRightInd/>
              <w:spacing w:after="0"/>
              <w:jc w:val="center"/>
              <w:textAlignment w:val="auto"/>
              <w:rPr>
                <w:rFonts w:ascii="Times New Roman" w:hAnsi="Times New Roman"/>
                <w:b/>
                <w:bCs/>
                <w:kern w:val="24"/>
                <w:sz w:val="18"/>
                <w:lang w:val="en-US" w:eastAsia="en-US"/>
              </w:rPr>
            </w:pPr>
            <w:r w:rsidRPr="00AB27F8">
              <w:rPr>
                <w:b/>
                <w:bCs/>
                <w:kern w:val="24"/>
                <w:sz w:val="18"/>
                <w:lang w:val="en-US" w:eastAsia="en-US"/>
              </w:rPr>
              <w:t>TTT=320ms</w:t>
            </w:r>
          </w:p>
        </w:tc>
        <w:tc>
          <w:tcPr>
            <w:tcW w:w="4190" w:type="dxa"/>
            <w:gridSpan w:val="4"/>
            <w:tcBorders>
              <w:left w:val="single" w:sz="18" w:space="0" w:color="auto"/>
            </w:tcBorders>
          </w:tcPr>
          <w:p w14:paraId="1740D940" w14:textId="77777777" w:rsidR="00A93316" w:rsidRPr="001A53F7" w:rsidRDefault="00A93316" w:rsidP="00035CB2">
            <w:pPr>
              <w:overflowPunct/>
              <w:autoSpaceDE/>
              <w:autoSpaceDN/>
              <w:adjustRightInd/>
              <w:spacing w:after="0"/>
              <w:jc w:val="center"/>
              <w:textAlignment w:val="auto"/>
              <w:rPr>
                <w:rFonts w:ascii="Times New Roman" w:hAnsi="Times New Roman"/>
                <w:b/>
                <w:bCs/>
                <w:kern w:val="24"/>
                <w:sz w:val="18"/>
                <w:lang w:val="en-US" w:eastAsia="en-US"/>
              </w:rPr>
            </w:pPr>
            <w:r w:rsidRPr="00AB27F8">
              <w:rPr>
                <w:b/>
                <w:bCs/>
                <w:kern w:val="24"/>
                <w:sz w:val="18"/>
                <w:lang w:val="en-US" w:eastAsia="en-US"/>
              </w:rPr>
              <w:t>TTT=240ms</w:t>
            </w:r>
          </w:p>
        </w:tc>
      </w:tr>
      <w:tr w:rsidR="00A93316" w:rsidRPr="00705F99" w14:paraId="0A63F575" w14:textId="77777777" w:rsidTr="00035CB2">
        <w:trPr>
          <w:trHeight w:val="457"/>
          <w:jc w:val="center"/>
        </w:trPr>
        <w:tc>
          <w:tcPr>
            <w:tcW w:w="1176" w:type="dxa"/>
          </w:tcPr>
          <w:p w14:paraId="4CC9D84F" w14:textId="77777777" w:rsidR="00A93316" w:rsidRPr="001A53F7" w:rsidRDefault="00A93316" w:rsidP="00035CB2">
            <w:pPr>
              <w:overflowPunct/>
              <w:autoSpaceDE/>
              <w:autoSpaceDN/>
              <w:adjustRightInd/>
              <w:spacing w:after="0"/>
              <w:textAlignment w:val="auto"/>
              <w:rPr>
                <w:rFonts w:ascii="Times New Roman" w:hAnsi="Times New Roman"/>
                <w:sz w:val="18"/>
                <w:lang w:val="en-US" w:eastAsia="en-US"/>
              </w:rPr>
            </w:pPr>
          </w:p>
        </w:tc>
        <w:tc>
          <w:tcPr>
            <w:tcW w:w="794" w:type="dxa"/>
          </w:tcPr>
          <w:p w14:paraId="767C204B" w14:textId="77777777" w:rsidR="00A93316" w:rsidRPr="001A53F7"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rFonts w:ascii="Times New Roman" w:hAnsi="Times New Roman"/>
                <w:b/>
                <w:bCs/>
                <w:kern w:val="24"/>
                <w:sz w:val="16"/>
                <w:lang w:val="en-US" w:eastAsia="en-US"/>
              </w:rPr>
              <w:t>HO failure rate</w:t>
            </w:r>
          </w:p>
        </w:tc>
        <w:tc>
          <w:tcPr>
            <w:tcW w:w="937" w:type="dxa"/>
          </w:tcPr>
          <w:p w14:paraId="12EFD609" w14:textId="77777777" w:rsidR="00A93316" w:rsidRPr="001A53F7"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rFonts w:ascii="Times New Roman" w:hAnsi="Times New Roman"/>
                <w:b/>
                <w:bCs/>
                <w:kern w:val="24"/>
                <w:sz w:val="16"/>
                <w:lang w:val="en-US" w:eastAsia="en-US"/>
              </w:rPr>
              <w:t xml:space="preserve">Total number of </w:t>
            </w:r>
            <w:r w:rsidRPr="00F50A89">
              <w:rPr>
                <w:rFonts w:ascii="Times New Roman" w:hAnsi="Times New Roman"/>
                <w:b/>
                <w:bCs/>
                <w:kern w:val="24"/>
                <w:sz w:val="16"/>
                <w:lang w:val="en-US" w:eastAsia="en-US"/>
              </w:rPr>
              <w:t>HO attempts per UE per second</w:t>
            </w:r>
          </w:p>
        </w:tc>
        <w:tc>
          <w:tcPr>
            <w:tcW w:w="823" w:type="dxa"/>
          </w:tcPr>
          <w:p w14:paraId="15F2C341" w14:textId="77777777" w:rsidR="00A93316" w:rsidRPr="00F50A89"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rFonts w:ascii="Times New Roman" w:hAnsi="Times New Roman"/>
                <w:b/>
                <w:bCs/>
                <w:kern w:val="24"/>
                <w:sz w:val="16"/>
                <w:lang w:val="en-US" w:eastAsia="en-US"/>
              </w:rPr>
              <w:t>Total number of HOF per UE per second</w:t>
            </w:r>
          </w:p>
        </w:tc>
        <w:tc>
          <w:tcPr>
            <w:tcW w:w="1709" w:type="dxa"/>
            <w:tcBorders>
              <w:right w:val="single" w:sz="18" w:space="0" w:color="auto"/>
            </w:tcBorders>
          </w:tcPr>
          <w:p w14:paraId="1D395FFE" w14:textId="77777777" w:rsidR="00A93316" w:rsidRPr="00AB27F8"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FE64FB">
              <w:rPr>
                <w:rFonts w:ascii="Times New Roman" w:hAnsi="Times New Roman"/>
                <w:b/>
                <w:bCs/>
                <w:kern w:val="24"/>
                <w:sz w:val="16"/>
                <w:lang w:val="en-US" w:eastAsia="en-US"/>
              </w:rPr>
              <w:t>F1 score of measurement event prediction</w:t>
            </w:r>
          </w:p>
        </w:tc>
        <w:tc>
          <w:tcPr>
            <w:tcW w:w="771" w:type="dxa"/>
            <w:tcBorders>
              <w:left w:val="single" w:sz="18" w:space="0" w:color="auto"/>
            </w:tcBorders>
          </w:tcPr>
          <w:p w14:paraId="3D2462C6" w14:textId="77777777" w:rsidR="00A93316" w:rsidRPr="00AB27F8"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b/>
                <w:bCs/>
                <w:kern w:val="24"/>
                <w:sz w:val="16"/>
                <w:lang w:val="en-US" w:eastAsia="en-US"/>
              </w:rPr>
              <w:t>HO failure rate</w:t>
            </w:r>
          </w:p>
        </w:tc>
        <w:tc>
          <w:tcPr>
            <w:tcW w:w="873" w:type="dxa"/>
          </w:tcPr>
          <w:p w14:paraId="37EE150E" w14:textId="77777777" w:rsidR="00A93316" w:rsidRPr="00AB27F8"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b/>
                <w:bCs/>
                <w:kern w:val="24"/>
                <w:sz w:val="16"/>
                <w:lang w:val="en-US" w:eastAsia="en-US"/>
              </w:rPr>
              <w:t>Total number of HO attempts per UE per second</w:t>
            </w:r>
          </w:p>
        </w:tc>
        <w:tc>
          <w:tcPr>
            <w:tcW w:w="850" w:type="dxa"/>
          </w:tcPr>
          <w:p w14:paraId="43AA8CBB" w14:textId="77777777" w:rsidR="00A93316" w:rsidRPr="00AB27F8"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b/>
                <w:bCs/>
                <w:kern w:val="24"/>
                <w:sz w:val="16"/>
                <w:lang w:val="en-US" w:eastAsia="en-US"/>
              </w:rPr>
              <w:t>Total number of HOF per UE per second</w:t>
            </w:r>
          </w:p>
        </w:tc>
        <w:tc>
          <w:tcPr>
            <w:tcW w:w="1696" w:type="dxa"/>
          </w:tcPr>
          <w:p w14:paraId="00E5C930" w14:textId="77777777" w:rsidR="00A93316" w:rsidRPr="00AB27F8" w:rsidRDefault="00A93316" w:rsidP="00035CB2">
            <w:pPr>
              <w:overflowPunct/>
              <w:autoSpaceDE/>
              <w:autoSpaceDN/>
              <w:adjustRightInd/>
              <w:spacing w:after="0"/>
              <w:jc w:val="center"/>
              <w:textAlignment w:val="auto"/>
              <w:rPr>
                <w:rFonts w:ascii="Times New Roman" w:hAnsi="Times New Roman"/>
                <w:b/>
                <w:bCs/>
                <w:kern w:val="24"/>
                <w:sz w:val="16"/>
                <w:lang w:val="en-US" w:eastAsia="en-US"/>
              </w:rPr>
            </w:pPr>
            <w:r w:rsidRPr="00AB27F8">
              <w:rPr>
                <w:b/>
                <w:bCs/>
                <w:kern w:val="24"/>
                <w:sz w:val="16"/>
                <w:lang w:val="en-US" w:eastAsia="en-US"/>
              </w:rPr>
              <w:t>F1 score of measurement event prediction</w:t>
            </w:r>
          </w:p>
        </w:tc>
      </w:tr>
      <w:tr w:rsidR="00A93316" w:rsidRPr="00705F99" w14:paraId="35B68530" w14:textId="77777777" w:rsidTr="00035CB2">
        <w:trPr>
          <w:trHeight w:val="284"/>
          <w:jc w:val="center"/>
        </w:trPr>
        <w:tc>
          <w:tcPr>
            <w:tcW w:w="1176" w:type="dxa"/>
            <w:hideMark/>
          </w:tcPr>
          <w:p w14:paraId="37CC33C4" w14:textId="77777777" w:rsidR="00A93316" w:rsidRPr="00F50A89" w:rsidRDefault="00A93316" w:rsidP="00035CB2">
            <w:pPr>
              <w:overflowPunct/>
              <w:autoSpaceDE/>
              <w:autoSpaceDN/>
              <w:adjustRightInd/>
              <w:spacing w:after="0"/>
              <w:jc w:val="center"/>
              <w:textAlignment w:val="auto"/>
              <w:rPr>
                <w:rFonts w:ascii="Times New Roman" w:hAnsi="Times New Roman"/>
                <w:sz w:val="18"/>
                <w:lang w:val="en-US" w:eastAsia="en-US"/>
              </w:rPr>
            </w:pPr>
            <w:r w:rsidRPr="00AB27F8">
              <w:rPr>
                <w:rFonts w:ascii="Times New Roman" w:hAnsi="Times New Roman"/>
                <w:kern w:val="24"/>
                <w:sz w:val="18"/>
                <w:lang w:val="en-US" w:eastAsia="en-US"/>
              </w:rPr>
              <w:t>Baseline, i.e. KPIs when actual measurement results are used</w:t>
            </w:r>
          </w:p>
        </w:tc>
        <w:tc>
          <w:tcPr>
            <w:tcW w:w="794" w:type="dxa"/>
            <w:vAlign w:val="center"/>
          </w:tcPr>
          <w:p w14:paraId="2FEAB644" w14:textId="3C7ECCB7" w:rsidR="00A93316" w:rsidRPr="00AB27F8" w:rsidRDefault="00C6335F" w:rsidP="00035CB2">
            <w:pPr>
              <w:overflowPunct/>
              <w:autoSpaceDE/>
              <w:autoSpaceDN/>
              <w:adjustRightInd/>
              <w:spacing w:after="0"/>
              <w:jc w:val="center"/>
              <w:textAlignment w:val="auto"/>
              <w:rPr>
                <w:rFonts w:ascii="Times New Roman" w:hAnsi="Times New Roman"/>
                <w:bCs/>
                <w:kern w:val="24"/>
                <w:sz w:val="18"/>
                <w:lang w:val="en-US" w:eastAsia="en-US"/>
              </w:rPr>
            </w:pPr>
            <w:r w:rsidRPr="00FE64FB">
              <w:rPr>
                <w:rFonts w:ascii="Times New Roman" w:hAnsi="Times New Roman"/>
                <w:bCs/>
                <w:kern w:val="24"/>
                <w:sz w:val="18"/>
                <w:lang w:val="en-US" w:eastAsia="en-US"/>
              </w:rPr>
              <w:t>11</w:t>
            </w:r>
            <w:r w:rsidR="00A93316" w:rsidRPr="00FE64FB">
              <w:rPr>
                <w:rFonts w:ascii="Times New Roman" w:hAnsi="Times New Roman"/>
                <w:bCs/>
                <w:kern w:val="24"/>
                <w:sz w:val="18"/>
                <w:lang w:val="en-US" w:eastAsia="en-US"/>
              </w:rPr>
              <w:t>.</w:t>
            </w:r>
            <w:r w:rsidRPr="00FE64FB">
              <w:rPr>
                <w:rFonts w:ascii="Times New Roman" w:hAnsi="Times New Roman"/>
                <w:bCs/>
                <w:kern w:val="24"/>
                <w:sz w:val="18"/>
                <w:lang w:val="en-US" w:eastAsia="en-US"/>
              </w:rPr>
              <w:t>76</w:t>
            </w:r>
            <w:r w:rsidR="00A93316" w:rsidRPr="00AB27F8">
              <w:rPr>
                <w:bCs/>
                <w:kern w:val="24"/>
                <w:sz w:val="18"/>
                <w:lang w:val="en-US" w:eastAsia="en-US"/>
              </w:rPr>
              <w:t>%</w:t>
            </w:r>
          </w:p>
        </w:tc>
        <w:tc>
          <w:tcPr>
            <w:tcW w:w="937" w:type="dxa"/>
            <w:vAlign w:val="center"/>
          </w:tcPr>
          <w:p w14:paraId="5A5F1895"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0.594</w:t>
            </w:r>
          </w:p>
        </w:tc>
        <w:tc>
          <w:tcPr>
            <w:tcW w:w="823" w:type="dxa"/>
            <w:vAlign w:val="center"/>
          </w:tcPr>
          <w:p w14:paraId="0D3EE9B8" w14:textId="63D4076A"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C6335F" w:rsidRPr="00AB27F8">
              <w:rPr>
                <w:bCs/>
                <w:kern w:val="24"/>
                <w:sz w:val="18"/>
                <w:lang w:val="en-US" w:eastAsia="en-US"/>
              </w:rPr>
              <w:t>0983</w:t>
            </w:r>
          </w:p>
        </w:tc>
        <w:tc>
          <w:tcPr>
            <w:tcW w:w="1709" w:type="dxa"/>
            <w:tcBorders>
              <w:right w:val="single" w:sz="18" w:space="0" w:color="auto"/>
            </w:tcBorders>
            <w:vAlign w:val="center"/>
          </w:tcPr>
          <w:p w14:paraId="4198E64D"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N/A</w:t>
            </w:r>
          </w:p>
        </w:tc>
        <w:tc>
          <w:tcPr>
            <w:tcW w:w="771" w:type="dxa"/>
            <w:tcBorders>
              <w:left w:val="single" w:sz="18" w:space="0" w:color="auto"/>
            </w:tcBorders>
            <w:vAlign w:val="center"/>
          </w:tcPr>
          <w:p w14:paraId="21C7E321" w14:textId="7BFA45A8" w:rsidR="00A93316" w:rsidRPr="00AB27F8" w:rsidRDefault="005D06B4"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10.53</w:t>
            </w:r>
            <w:r w:rsidR="00A93316" w:rsidRPr="00AB27F8">
              <w:rPr>
                <w:bCs/>
                <w:kern w:val="24"/>
                <w:sz w:val="18"/>
                <w:lang w:val="en-US" w:eastAsia="en-US"/>
              </w:rPr>
              <w:t>%</w:t>
            </w:r>
          </w:p>
        </w:tc>
        <w:tc>
          <w:tcPr>
            <w:tcW w:w="873" w:type="dxa"/>
            <w:vAlign w:val="center"/>
          </w:tcPr>
          <w:p w14:paraId="0C612396"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0.663</w:t>
            </w:r>
          </w:p>
        </w:tc>
        <w:tc>
          <w:tcPr>
            <w:tcW w:w="850" w:type="dxa"/>
            <w:vAlign w:val="center"/>
          </w:tcPr>
          <w:p w14:paraId="059EE69F" w14:textId="5ECE47A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5D06B4" w:rsidRPr="00AB27F8">
              <w:rPr>
                <w:bCs/>
                <w:kern w:val="24"/>
                <w:sz w:val="18"/>
                <w:lang w:val="en-US" w:eastAsia="en-US"/>
              </w:rPr>
              <w:t>07</w:t>
            </w:r>
          </w:p>
        </w:tc>
        <w:tc>
          <w:tcPr>
            <w:tcW w:w="1696" w:type="dxa"/>
            <w:vAlign w:val="center"/>
          </w:tcPr>
          <w:p w14:paraId="3C020CEC"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N/A</w:t>
            </w:r>
          </w:p>
        </w:tc>
      </w:tr>
      <w:tr w:rsidR="00A93316" w:rsidRPr="00705F99" w14:paraId="007EA072" w14:textId="77777777" w:rsidTr="00035CB2">
        <w:trPr>
          <w:trHeight w:val="284"/>
          <w:jc w:val="center"/>
        </w:trPr>
        <w:tc>
          <w:tcPr>
            <w:tcW w:w="1176" w:type="dxa"/>
          </w:tcPr>
          <w:p w14:paraId="362058E8" w14:textId="77777777" w:rsidR="00A93316" w:rsidRPr="00FE64FB" w:rsidRDefault="00A93316" w:rsidP="00035CB2">
            <w:pPr>
              <w:overflowPunct/>
              <w:autoSpaceDE/>
              <w:autoSpaceDN/>
              <w:adjustRightInd/>
              <w:spacing w:after="0"/>
              <w:jc w:val="center"/>
              <w:textAlignment w:val="auto"/>
              <w:rPr>
                <w:rFonts w:ascii="Times New Roman" w:hAnsi="Times New Roman"/>
                <w:kern w:val="24"/>
                <w:sz w:val="18"/>
                <w:lang w:val="en-US" w:eastAsia="en-US"/>
              </w:rPr>
            </w:pPr>
            <w:r w:rsidRPr="00AB27F8">
              <w:rPr>
                <w:rFonts w:ascii="Times New Roman" w:hAnsi="Times New Roman"/>
                <w:kern w:val="24"/>
                <w:sz w:val="18"/>
                <w:lang w:val="en-US" w:eastAsia="en-US"/>
              </w:rPr>
              <w:t>AIML predicted measurement results</w:t>
            </w:r>
            <w:r w:rsidRPr="00F50A89">
              <w:rPr>
                <w:rFonts w:ascii="Times New Roman" w:hAnsi="Times New Roman"/>
                <w:kern w:val="24"/>
                <w:sz w:val="18"/>
                <w:lang w:val="en-US" w:eastAsia="en-US"/>
              </w:rPr>
              <w:t xml:space="preserve"> with HO option 1</w:t>
            </w:r>
          </w:p>
        </w:tc>
        <w:tc>
          <w:tcPr>
            <w:tcW w:w="794" w:type="dxa"/>
            <w:vAlign w:val="center"/>
          </w:tcPr>
          <w:p w14:paraId="11FF874A" w14:textId="10415C79" w:rsidR="00A93316" w:rsidRPr="00AB27F8" w:rsidRDefault="00C6335F"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11.76</w:t>
            </w:r>
            <w:r w:rsidR="00A93316" w:rsidRPr="00AB27F8">
              <w:rPr>
                <w:bCs/>
                <w:kern w:val="24"/>
                <w:sz w:val="18"/>
                <w:lang w:val="en-US" w:eastAsia="en-US"/>
              </w:rPr>
              <w:t>%</w:t>
            </w:r>
          </w:p>
        </w:tc>
        <w:tc>
          <w:tcPr>
            <w:tcW w:w="937" w:type="dxa"/>
            <w:vAlign w:val="center"/>
          </w:tcPr>
          <w:p w14:paraId="12F5CE8B"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0.594</w:t>
            </w:r>
          </w:p>
        </w:tc>
        <w:tc>
          <w:tcPr>
            <w:tcW w:w="823" w:type="dxa"/>
            <w:vAlign w:val="center"/>
          </w:tcPr>
          <w:p w14:paraId="7B0167DC" w14:textId="72C75350"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C6335F" w:rsidRPr="00AB27F8">
              <w:rPr>
                <w:bCs/>
                <w:kern w:val="24"/>
                <w:sz w:val="18"/>
                <w:lang w:val="en-US" w:eastAsia="en-US"/>
              </w:rPr>
              <w:t>0698</w:t>
            </w:r>
          </w:p>
        </w:tc>
        <w:tc>
          <w:tcPr>
            <w:tcW w:w="1709" w:type="dxa"/>
            <w:tcBorders>
              <w:right w:val="single" w:sz="18" w:space="0" w:color="auto"/>
            </w:tcBorders>
            <w:vAlign w:val="center"/>
          </w:tcPr>
          <w:p w14:paraId="7FFA5A0E"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0.32 (ETD=80ms)</w:t>
            </w:r>
          </w:p>
          <w:p w14:paraId="425DC418"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0.52 (ETD=160ms)</w:t>
            </w:r>
          </w:p>
        </w:tc>
        <w:tc>
          <w:tcPr>
            <w:tcW w:w="771" w:type="dxa"/>
            <w:tcBorders>
              <w:left w:val="single" w:sz="18" w:space="0" w:color="auto"/>
            </w:tcBorders>
            <w:vAlign w:val="center"/>
          </w:tcPr>
          <w:p w14:paraId="2238B40C" w14:textId="621B3569" w:rsidR="00A93316" w:rsidRPr="00AB27F8" w:rsidRDefault="005D06B4"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10.53</w:t>
            </w:r>
            <w:r w:rsidR="00A93316" w:rsidRPr="00AB27F8">
              <w:rPr>
                <w:bCs/>
                <w:kern w:val="24"/>
                <w:sz w:val="18"/>
                <w:lang w:val="en-US" w:eastAsia="en-US"/>
              </w:rPr>
              <w:t>%</w:t>
            </w:r>
          </w:p>
        </w:tc>
        <w:tc>
          <w:tcPr>
            <w:tcW w:w="873" w:type="dxa"/>
            <w:vAlign w:val="center"/>
          </w:tcPr>
          <w:p w14:paraId="745FF657"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0.663</w:t>
            </w:r>
          </w:p>
        </w:tc>
        <w:tc>
          <w:tcPr>
            <w:tcW w:w="850" w:type="dxa"/>
            <w:vAlign w:val="center"/>
          </w:tcPr>
          <w:p w14:paraId="207A5A79" w14:textId="737D485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5D06B4" w:rsidRPr="00AB27F8">
              <w:rPr>
                <w:bCs/>
                <w:kern w:val="24"/>
                <w:sz w:val="18"/>
                <w:lang w:val="en-US" w:eastAsia="en-US"/>
              </w:rPr>
              <w:t>07</w:t>
            </w:r>
          </w:p>
        </w:tc>
        <w:tc>
          <w:tcPr>
            <w:tcW w:w="1696" w:type="dxa"/>
            <w:vAlign w:val="center"/>
          </w:tcPr>
          <w:p w14:paraId="10ED98F8"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0.56 (ETD=80ms)</w:t>
            </w:r>
          </w:p>
          <w:p w14:paraId="061220BD"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0.87 (ETD=160ms)</w:t>
            </w:r>
          </w:p>
        </w:tc>
      </w:tr>
      <w:tr w:rsidR="00A93316" w:rsidRPr="00705F99" w14:paraId="45D8FDE3" w14:textId="77777777" w:rsidTr="00035CB2">
        <w:trPr>
          <w:trHeight w:val="284"/>
          <w:jc w:val="center"/>
        </w:trPr>
        <w:tc>
          <w:tcPr>
            <w:tcW w:w="1176" w:type="dxa"/>
          </w:tcPr>
          <w:p w14:paraId="14DDE838" w14:textId="77777777" w:rsidR="00A93316" w:rsidRPr="001A53F7" w:rsidRDefault="00A93316" w:rsidP="00035CB2">
            <w:pPr>
              <w:overflowPunct/>
              <w:autoSpaceDE/>
              <w:autoSpaceDN/>
              <w:adjustRightInd/>
              <w:spacing w:after="0"/>
              <w:jc w:val="center"/>
              <w:textAlignment w:val="auto"/>
              <w:rPr>
                <w:rFonts w:ascii="Times New Roman" w:hAnsi="Times New Roman"/>
                <w:kern w:val="24"/>
                <w:sz w:val="18"/>
                <w:lang w:val="en-US" w:eastAsia="en-US"/>
              </w:rPr>
            </w:pPr>
            <w:r w:rsidRPr="00AB27F8">
              <w:rPr>
                <w:rFonts w:ascii="Times New Roman" w:hAnsi="Times New Roman"/>
                <w:kern w:val="24"/>
                <w:sz w:val="18"/>
                <w:lang w:val="en-US" w:eastAsia="en-US"/>
              </w:rPr>
              <w:t>AIML predicted measurement results</w:t>
            </w:r>
            <w:r w:rsidRPr="00F50A89">
              <w:rPr>
                <w:rFonts w:ascii="Times New Roman" w:hAnsi="Times New Roman"/>
                <w:kern w:val="24"/>
                <w:sz w:val="18"/>
                <w:lang w:val="en-US" w:eastAsia="en-US"/>
              </w:rPr>
              <w:t xml:space="preserve"> with HO option 2</w:t>
            </w:r>
          </w:p>
        </w:tc>
        <w:tc>
          <w:tcPr>
            <w:tcW w:w="794" w:type="dxa"/>
            <w:vAlign w:val="center"/>
          </w:tcPr>
          <w:p w14:paraId="202265AB" w14:textId="07EC34E7" w:rsidR="00A93316" w:rsidRPr="001A53F7" w:rsidRDefault="00C6335F"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A93316" w:rsidRPr="00AB27F8">
              <w:rPr>
                <w:bCs/>
                <w:kern w:val="24"/>
                <w:sz w:val="18"/>
                <w:lang w:val="en-US" w:eastAsia="en-US"/>
              </w:rPr>
              <w:t>%</w:t>
            </w:r>
          </w:p>
        </w:tc>
        <w:tc>
          <w:tcPr>
            <w:tcW w:w="937" w:type="dxa"/>
            <w:vAlign w:val="center"/>
          </w:tcPr>
          <w:p w14:paraId="62A30E60"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rFonts w:ascii="Times New Roman" w:hAnsi="Times New Roman"/>
                <w:bCs/>
                <w:kern w:val="24"/>
                <w:sz w:val="18"/>
                <w:lang w:val="en-US" w:eastAsia="en-US"/>
              </w:rPr>
              <w:t>0.419</w:t>
            </w:r>
          </w:p>
        </w:tc>
        <w:tc>
          <w:tcPr>
            <w:tcW w:w="823" w:type="dxa"/>
            <w:vAlign w:val="center"/>
          </w:tcPr>
          <w:p w14:paraId="246B5261" w14:textId="1452018F" w:rsidR="00A93316" w:rsidRPr="007E5C50"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F50A89">
              <w:rPr>
                <w:rFonts w:ascii="Times New Roman" w:hAnsi="Times New Roman"/>
                <w:bCs/>
                <w:kern w:val="24"/>
                <w:sz w:val="18"/>
                <w:lang w:val="en-US" w:eastAsia="en-US"/>
              </w:rPr>
              <w:t>0</w:t>
            </w:r>
          </w:p>
        </w:tc>
        <w:tc>
          <w:tcPr>
            <w:tcW w:w="1709" w:type="dxa"/>
            <w:tcBorders>
              <w:right w:val="single" w:sz="18" w:space="0" w:color="auto"/>
            </w:tcBorders>
            <w:vAlign w:val="center"/>
          </w:tcPr>
          <w:p w14:paraId="444418C6" w14:textId="77777777" w:rsidR="00A93316" w:rsidRPr="00FE64FB"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FE64FB">
              <w:rPr>
                <w:rFonts w:ascii="Times New Roman" w:hAnsi="Times New Roman"/>
                <w:bCs/>
                <w:kern w:val="24"/>
                <w:sz w:val="18"/>
                <w:lang w:val="en-US" w:eastAsia="en-US"/>
              </w:rPr>
              <w:t>0.32 (ETD=80ms)</w:t>
            </w:r>
          </w:p>
          <w:p w14:paraId="03772CFD"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0.52 (ETD=160ms)</w:t>
            </w:r>
          </w:p>
        </w:tc>
        <w:tc>
          <w:tcPr>
            <w:tcW w:w="771" w:type="dxa"/>
            <w:tcBorders>
              <w:left w:val="single" w:sz="18" w:space="0" w:color="auto"/>
            </w:tcBorders>
            <w:vAlign w:val="center"/>
          </w:tcPr>
          <w:p w14:paraId="0E059D36" w14:textId="64D8F453" w:rsidR="00A93316" w:rsidRPr="00AB27F8" w:rsidRDefault="005D06B4"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r w:rsidR="00A93316" w:rsidRPr="00AB27F8">
              <w:rPr>
                <w:bCs/>
                <w:kern w:val="24"/>
                <w:sz w:val="18"/>
                <w:lang w:val="en-US" w:eastAsia="en-US"/>
              </w:rPr>
              <w:t>%</w:t>
            </w:r>
          </w:p>
        </w:tc>
        <w:tc>
          <w:tcPr>
            <w:tcW w:w="873" w:type="dxa"/>
            <w:vAlign w:val="center"/>
          </w:tcPr>
          <w:p w14:paraId="086CD60B"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0.628</w:t>
            </w:r>
          </w:p>
        </w:tc>
        <w:tc>
          <w:tcPr>
            <w:tcW w:w="850" w:type="dxa"/>
            <w:vAlign w:val="center"/>
          </w:tcPr>
          <w:p w14:paraId="525C2B07" w14:textId="7390B3B5"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w:t>
            </w:r>
          </w:p>
        </w:tc>
        <w:tc>
          <w:tcPr>
            <w:tcW w:w="1696" w:type="dxa"/>
            <w:vAlign w:val="center"/>
          </w:tcPr>
          <w:p w14:paraId="34EB8CE0"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0.56 (ETD=80ms)</w:t>
            </w:r>
          </w:p>
          <w:p w14:paraId="4B884557" w14:textId="77777777" w:rsidR="00A93316" w:rsidRPr="00AB27F8" w:rsidRDefault="00A93316" w:rsidP="00035CB2">
            <w:pPr>
              <w:overflowPunct/>
              <w:autoSpaceDE/>
              <w:autoSpaceDN/>
              <w:adjustRightInd/>
              <w:spacing w:after="0"/>
              <w:jc w:val="center"/>
              <w:textAlignment w:val="auto"/>
              <w:rPr>
                <w:rFonts w:ascii="Times New Roman" w:hAnsi="Times New Roman"/>
                <w:bCs/>
                <w:kern w:val="24"/>
                <w:sz w:val="18"/>
                <w:lang w:val="en-US" w:eastAsia="en-US"/>
              </w:rPr>
            </w:pPr>
            <w:r w:rsidRPr="00AB27F8">
              <w:rPr>
                <w:bCs/>
                <w:kern w:val="24"/>
                <w:sz w:val="18"/>
                <w:lang w:val="en-US" w:eastAsia="en-US"/>
              </w:rPr>
              <w:t>0.87 (ETD=160ms)</w:t>
            </w:r>
          </w:p>
        </w:tc>
      </w:tr>
    </w:tbl>
    <w:p w14:paraId="0C83AACC" w14:textId="77777777" w:rsidR="00A93316" w:rsidRDefault="00A93316" w:rsidP="00EF4C42">
      <w:pPr>
        <w:spacing w:after="120"/>
        <w:ind w:rightChars="100" w:right="200"/>
        <w:jc w:val="both"/>
        <w:rPr>
          <w:rFonts w:eastAsiaTheme="minorEastAsia"/>
        </w:rPr>
      </w:pPr>
    </w:p>
    <w:p w14:paraId="30F9FF20" w14:textId="561144BC" w:rsidR="00FE1222" w:rsidRDefault="00FE1222" w:rsidP="00EF4C42">
      <w:pPr>
        <w:spacing w:after="120"/>
        <w:ind w:rightChars="100" w:right="200"/>
        <w:jc w:val="both"/>
        <w:rPr>
          <w:rFonts w:eastAsiaTheme="minorEastAsia"/>
        </w:rPr>
      </w:pPr>
      <w:r>
        <w:rPr>
          <w:rFonts w:eastAsiaTheme="minorEastAsia"/>
        </w:rPr>
        <w:t>However, in both cases the trends are the same and the same observations and con</w:t>
      </w:r>
      <w:r w:rsidR="00731B0D">
        <w:rPr>
          <w:rFonts w:eastAsiaTheme="minorEastAsia"/>
        </w:rPr>
        <w:t>c</w:t>
      </w:r>
      <w:r>
        <w:rPr>
          <w:rFonts w:eastAsiaTheme="minorEastAsia"/>
        </w:rPr>
        <w:t>lusions can be drawn.</w:t>
      </w:r>
    </w:p>
    <w:p w14:paraId="19DF8452" w14:textId="044FFEC7" w:rsidR="00887AE1" w:rsidRDefault="00887AE1" w:rsidP="00EF4C42">
      <w:pPr>
        <w:spacing w:after="120"/>
        <w:ind w:rightChars="100" w:right="200"/>
        <w:jc w:val="both"/>
        <w:rPr>
          <w:rFonts w:eastAsiaTheme="minorEastAsia"/>
        </w:rPr>
      </w:pPr>
      <w:r>
        <w:rPr>
          <w:rFonts w:eastAsiaTheme="minorEastAsia"/>
        </w:rPr>
        <w:lastRenderedPageBreak/>
        <w:t xml:space="preserve">As can be seen in the results, using AIML predicted measurement results using HO option 2 allows to improve mobility performance KPIs significantly, while utilizing HO option 1 brings no benefits. </w:t>
      </w:r>
      <w:r w:rsidR="00846FDF">
        <w:rPr>
          <w:rFonts w:eastAsiaTheme="minorEastAsia"/>
        </w:rPr>
        <w:t>It seems that in the simulated scenarios, bad mobility performance is caused by too late handovers and saving only the HO preparation time is not sufficient to avoid these HO failures. HO option 2 on the other hand, allows to save much more time which in the simulated scenarios equals to TTT-</w:t>
      </w:r>
      <w:r w:rsidR="00AE71EC">
        <w:rPr>
          <w:rFonts w:eastAsiaTheme="minorEastAsia"/>
        </w:rPr>
        <w:t>(</w:t>
      </w:r>
      <w:r w:rsidR="00846FDF">
        <w:rPr>
          <w:rFonts w:eastAsiaTheme="minorEastAsia"/>
        </w:rPr>
        <w:t>HO preparation time</w:t>
      </w:r>
      <w:r w:rsidR="00AE71EC">
        <w:rPr>
          <w:rFonts w:eastAsiaTheme="minorEastAsia"/>
        </w:rPr>
        <w:t>)</w:t>
      </w:r>
      <w:r w:rsidR="00846FDF">
        <w:rPr>
          <w:rFonts w:eastAsiaTheme="minorEastAsia"/>
        </w:rPr>
        <w:t>, as the PW length=TTT=320ms. For shorter TTT, the HO performance is also slightly improved for HO option 2 as in this case also HO preparation time can be saved, as PW length (320ms) is longer than a sum of TTT (240ms) and HO preparation time (40ms).</w:t>
      </w:r>
    </w:p>
    <w:p w14:paraId="7BE4EA9D" w14:textId="092F240D" w:rsidR="006F72C9" w:rsidRDefault="006B19E1" w:rsidP="00EF4C42">
      <w:pPr>
        <w:spacing w:after="120"/>
        <w:ind w:rightChars="100" w:right="200"/>
        <w:jc w:val="both"/>
        <w:rPr>
          <w:rFonts w:eastAsiaTheme="minorEastAsia"/>
          <w:b/>
        </w:rPr>
      </w:pPr>
      <w:r>
        <w:rPr>
          <w:rFonts w:eastAsiaTheme="minorEastAsia"/>
          <w:b/>
        </w:rPr>
        <w:t xml:space="preserve">Observation </w:t>
      </w:r>
      <w:r w:rsidR="005F1737">
        <w:rPr>
          <w:rFonts w:eastAsiaTheme="minorEastAsia"/>
          <w:b/>
        </w:rPr>
        <w:t>3</w:t>
      </w:r>
      <w:r>
        <w:rPr>
          <w:rFonts w:eastAsiaTheme="minorEastAsia"/>
          <w:b/>
        </w:rPr>
        <w:t xml:space="preserve">: For </w:t>
      </w:r>
      <w:r w:rsidR="007E5C50" w:rsidRPr="00986E3B">
        <w:rPr>
          <w:b/>
        </w:rPr>
        <w:t xml:space="preserve">FR2 to FR2 intra-frequency temporal domain case A </w:t>
      </w:r>
      <w:r w:rsidR="007E5C50">
        <w:rPr>
          <w:b/>
        </w:rPr>
        <w:t>(Case 4)</w:t>
      </w:r>
      <w:r>
        <w:rPr>
          <w:rFonts w:eastAsiaTheme="minorEastAsia"/>
          <w:b/>
        </w:rPr>
        <w:t xml:space="preserve">, HO performance can be improved significantly </w:t>
      </w:r>
      <w:r w:rsidR="0026417E">
        <w:rPr>
          <w:rFonts w:eastAsiaTheme="minorEastAsia"/>
          <w:b/>
        </w:rPr>
        <w:t xml:space="preserve">using HO option 2 while utilizing HO option 1 brings no mobility performance gains. </w:t>
      </w:r>
    </w:p>
    <w:p w14:paraId="65DB3CFC" w14:textId="75F610E0" w:rsidR="0026417E" w:rsidRDefault="0026417E" w:rsidP="00EF4C42">
      <w:pPr>
        <w:spacing w:after="120"/>
        <w:ind w:rightChars="100" w:right="200"/>
        <w:jc w:val="both"/>
        <w:rPr>
          <w:rFonts w:eastAsiaTheme="minorEastAsia"/>
          <w:b/>
        </w:rPr>
      </w:pPr>
      <w:r>
        <w:rPr>
          <w:rFonts w:eastAsiaTheme="minorEastAsia"/>
          <w:b/>
        </w:rPr>
        <w:t xml:space="preserve">Observation </w:t>
      </w:r>
      <w:r w:rsidR="005F1737">
        <w:rPr>
          <w:rFonts w:eastAsiaTheme="minorEastAsia"/>
          <w:b/>
        </w:rPr>
        <w:t>4</w:t>
      </w:r>
      <w:r>
        <w:rPr>
          <w:rFonts w:eastAsiaTheme="minorEastAsia"/>
          <w:b/>
        </w:rPr>
        <w:t>: The performance gain is observed in terms of both HOF rate and t</w:t>
      </w:r>
      <w:r w:rsidRPr="0026417E">
        <w:rPr>
          <w:rFonts w:eastAsiaTheme="minorEastAsia"/>
          <w:b/>
        </w:rPr>
        <w:t>otal number of HOF per UE per second</w:t>
      </w:r>
      <w:r w:rsidR="003D2500">
        <w:rPr>
          <w:rFonts w:eastAsiaTheme="minorEastAsia"/>
          <w:b/>
        </w:rPr>
        <w:t>, e.g. in the RAN2 agreed scenario HOF rate drops from 70% to 25% while the t</w:t>
      </w:r>
      <w:r w:rsidR="003D2500" w:rsidRPr="0026417E">
        <w:rPr>
          <w:rFonts w:eastAsiaTheme="minorEastAsia"/>
          <w:b/>
        </w:rPr>
        <w:t>otal number of HOF per UE per second</w:t>
      </w:r>
      <w:r w:rsidR="003D2500">
        <w:rPr>
          <w:rFonts w:eastAsiaTheme="minorEastAsia"/>
          <w:b/>
        </w:rPr>
        <w:t xml:space="preserve"> </w:t>
      </w:r>
      <w:r>
        <w:rPr>
          <w:rFonts w:eastAsiaTheme="minorEastAsia"/>
          <w:b/>
        </w:rPr>
        <w:t>drop</w:t>
      </w:r>
      <w:r w:rsidR="003D2500">
        <w:rPr>
          <w:rFonts w:eastAsiaTheme="minorEastAsia"/>
          <w:b/>
        </w:rPr>
        <w:t>s</w:t>
      </w:r>
      <w:r>
        <w:rPr>
          <w:rFonts w:eastAsiaTheme="minorEastAsia"/>
          <w:b/>
        </w:rPr>
        <w:t xml:space="preserve"> from </w:t>
      </w:r>
      <w:r w:rsidRPr="0026417E">
        <w:rPr>
          <w:rFonts w:eastAsiaTheme="minorEastAsia"/>
          <w:b/>
        </w:rPr>
        <w:t>0.419</w:t>
      </w:r>
      <w:r>
        <w:rPr>
          <w:rFonts w:eastAsiaTheme="minorEastAsia"/>
          <w:b/>
        </w:rPr>
        <w:t xml:space="preserve"> to 0.105.</w:t>
      </w:r>
    </w:p>
    <w:p w14:paraId="67719742" w14:textId="3AA18672" w:rsidR="00F225CD" w:rsidRDefault="005F1737" w:rsidP="00EF4C42">
      <w:pPr>
        <w:spacing w:after="120"/>
        <w:ind w:rightChars="100" w:right="200"/>
        <w:jc w:val="both"/>
        <w:rPr>
          <w:rFonts w:eastAsiaTheme="minorEastAsia"/>
        </w:rPr>
      </w:pPr>
      <w:r w:rsidRPr="005F1737">
        <w:rPr>
          <w:rFonts w:eastAsiaTheme="minorEastAsia"/>
        </w:rPr>
        <w:t>Furthermore</w:t>
      </w:r>
      <w:r>
        <w:rPr>
          <w:rFonts w:eastAsiaTheme="minorEastAsia"/>
        </w:rPr>
        <w:t>, it can be observed that there is no direct correlation between F1 score metric and the HO performance. This is best visible for in Table 5 where HOF rate equals to 0% for HO option 2 while the F1 score was equal to 0.32 for ETD=80ms and to 0.52 for ETD=160ms.</w:t>
      </w:r>
    </w:p>
    <w:p w14:paraId="26E67993" w14:textId="6ECF6350" w:rsidR="00FB3E05" w:rsidRDefault="00FB3E05" w:rsidP="00FB3E05">
      <w:pPr>
        <w:spacing w:after="120"/>
        <w:ind w:rightChars="100" w:right="200"/>
        <w:jc w:val="both"/>
        <w:rPr>
          <w:rFonts w:eastAsiaTheme="minorEastAsia"/>
          <w:b/>
          <w:lang w:val="en-US"/>
        </w:rPr>
      </w:pPr>
      <w:r>
        <w:rPr>
          <w:rFonts w:eastAsiaTheme="minorEastAsia"/>
          <w:b/>
          <w:lang w:val="en-US"/>
        </w:rPr>
        <w:t>Observation 5: AIML models can help to improve the mobility performance significantly, even when the achieved F1 score is low.</w:t>
      </w:r>
    </w:p>
    <w:p w14:paraId="4C05DC7C" w14:textId="1CBD307E" w:rsidR="00AA1686" w:rsidRPr="00CC2165" w:rsidRDefault="00FB3E05" w:rsidP="00CC2165">
      <w:pPr>
        <w:spacing w:after="120"/>
        <w:ind w:rightChars="100" w:right="200"/>
        <w:jc w:val="both"/>
        <w:rPr>
          <w:rFonts w:eastAsiaTheme="minorEastAsia"/>
          <w:b/>
          <w:lang w:val="en-US"/>
        </w:rPr>
      </w:pPr>
      <w:r>
        <w:rPr>
          <w:rFonts w:eastAsiaTheme="minorEastAsia"/>
          <w:b/>
          <w:lang w:val="en-US"/>
        </w:rPr>
        <w:t>Observation 6: F1 score alone does not provide sufficient information about the usefulness of measurement event prediction for mobility improvement in the system.</w:t>
      </w:r>
    </w:p>
    <w:bookmarkEnd w:id="8"/>
    <w:p w14:paraId="4B396A51" w14:textId="3032DBBC" w:rsidR="00A053D1" w:rsidRPr="0060578E" w:rsidRDefault="003178A1">
      <w:pPr>
        <w:pStyle w:val="Heading1"/>
      </w:pPr>
      <w:r>
        <w:t>3</w:t>
      </w:r>
      <w:r w:rsidR="00827357" w:rsidRPr="0060578E">
        <w:t xml:space="preserve">   </w:t>
      </w:r>
      <w:r w:rsidR="00160A35">
        <w:t>Summary</w:t>
      </w:r>
    </w:p>
    <w:p w14:paraId="14037DF7" w14:textId="5DECB9DD" w:rsidR="001C3A4F" w:rsidRDefault="001C3A4F" w:rsidP="00FA4F93">
      <w:pPr>
        <w:spacing w:after="0"/>
        <w:rPr>
          <w:rFonts w:eastAsiaTheme="minorEastAsia"/>
        </w:rPr>
      </w:pPr>
      <w:r w:rsidRPr="001C3A4F">
        <w:rPr>
          <w:rFonts w:eastAsiaTheme="minorEastAsia"/>
        </w:rPr>
        <w:t xml:space="preserve">Based on the simulations </w:t>
      </w:r>
      <w:r>
        <w:rPr>
          <w:rFonts w:eastAsiaTheme="minorEastAsia"/>
        </w:rPr>
        <w:t>presented in this paper, the following observations are made</w:t>
      </w:r>
      <w:r w:rsidR="001E6E69">
        <w:rPr>
          <w:rFonts w:eastAsiaTheme="minorEastAsia"/>
        </w:rPr>
        <w:t xml:space="preserve"> for measurement event prediction and its impact on system level KPIs for temporal domain prediction Case A in FR2</w:t>
      </w:r>
      <w:r>
        <w:rPr>
          <w:rFonts w:eastAsiaTheme="minorEastAsia"/>
        </w:rPr>
        <w:t>:</w:t>
      </w:r>
    </w:p>
    <w:p w14:paraId="5DA33B0F" w14:textId="77777777" w:rsidR="001145E7" w:rsidRDefault="001145E7" w:rsidP="00FA4F93">
      <w:pPr>
        <w:spacing w:after="0"/>
        <w:rPr>
          <w:rFonts w:eastAsiaTheme="minorEastAsia"/>
        </w:rPr>
      </w:pPr>
      <w:bookmarkStart w:id="9" w:name="_GoBack"/>
      <w:bookmarkEnd w:id="9"/>
    </w:p>
    <w:p w14:paraId="3B8EB976" w14:textId="7086ABE2" w:rsidR="00B549B1" w:rsidRDefault="00B549B1" w:rsidP="00B549B1">
      <w:pPr>
        <w:spacing w:after="120"/>
        <w:ind w:rightChars="100" w:right="200"/>
        <w:jc w:val="both"/>
        <w:rPr>
          <w:rFonts w:eastAsiaTheme="minorEastAsia"/>
          <w:b/>
          <w:lang w:val="en-US"/>
        </w:rPr>
      </w:pPr>
      <w:r>
        <w:rPr>
          <w:rFonts w:eastAsiaTheme="minorEastAsia"/>
          <w:b/>
          <w:lang w:val="en-US"/>
        </w:rPr>
        <w:t xml:space="preserve">Observation 1: </w:t>
      </w:r>
      <w:r w:rsidR="001E6E69">
        <w:rPr>
          <w:rFonts w:eastAsiaTheme="minorEastAsia"/>
          <w:b/>
        </w:rPr>
        <w:t xml:space="preserve">For </w:t>
      </w:r>
      <w:r w:rsidR="00E83F8D" w:rsidRPr="00986E3B">
        <w:rPr>
          <w:b/>
        </w:rPr>
        <w:t xml:space="preserve">FR2 to FR2 intra-frequency temporal domain case A </w:t>
      </w:r>
      <w:r w:rsidR="00E83F8D">
        <w:rPr>
          <w:b/>
        </w:rPr>
        <w:t>(Case 4)</w:t>
      </w:r>
      <w:r w:rsidR="001E6E69">
        <w:rPr>
          <w:rFonts w:eastAsiaTheme="minorEastAsia"/>
          <w:b/>
        </w:rPr>
        <w:t xml:space="preserve">, </w:t>
      </w:r>
      <w:r>
        <w:rPr>
          <w:rFonts w:eastAsiaTheme="minorEastAsia"/>
          <w:b/>
          <w:lang w:val="en-US"/>
        </w:rPr>
        <w:t>F1 score is higher for shorter TTT values of the predicted event.</w:t>
      </w:r>
    </w:p>
    <w:p w14:paraId="6D6DB46A" w14:textId="797D00E6" w:rsidR="00B549B1" w:rsidRDefault="00B549B1" w:rsidP="00B549B1">
      <w:pPr>
        <w:spacing w:after="120"/>
        <w:ind w:rightChars="100" w:right="200"/>
        <w:jc w:val="both"/>
        <w:rPr>
          <w:rFonts w:eastAsiaTheme="minorEastAsia"/>
          <w:b/>
          <w:lang w:val="en-US"/>
        </w:rPr>
      </w:pPr>
      <w:r>
        <w:rPr>
          <w:rFonts w:eastAsiaTheme="minorEastAsia"/>
          <w:b/>
          <w:lang w:val="en-US"/>
        </w:rPr>
        <w:t xml:space="preserve">Observation 2: </w:t>
      </w:r>
      <w:r w:rsidR="001E6E69">
        <w:rPr>
          <w:rFonts w:eastAsiaTheme="minorEastAsia"/>
          <w:b/>
        </w:rPr>
        <w:t xml:space="preserve">For </w:t>
      </w:r>
      <w:r w:rsidR="00E83F8D" w:rsidRPr="00986E3B">
        <w:rPr>
          <w:b/>
        </w:rPr>
        <w:t xml:space="preserve">FR2 to FR2 intra-frequency temporal domain case A </w:t>
      </w:r>
      <w:r w:rsidR="00E83F8D">
        <w:rPr>
          <w:b/>
        </w:rPr>
        <w:t>(Case 4)</w:t>
      </w:r>
      <w:r w:rsidR="001E6E69">
        <w:rPr>
          <w:rFonts w:eastAsiaTheme="minorEastAsia"/>
          <w:b/>
        </w:rPr>
        <w:t>, i</w:t>
      </w:r>
      <w:r>
        <w:rPr>
          <w:rFonts w:eastAsiaTheme="minorEastAsia"/>
          <w:b/>
          <w:lang w:val="en-US"/>
        </w:rPr>
        <w:t>t is challenging to achieve high F1 score for ETD=80ms in case sampling rate in the simulations is also equal to 80ms as it leaves very small margin for prediction mistakes. Extending ETD to 160ms improves the prediction accuracy significantly, e.g. with TTT=240ms and ETD=160ms, F1 score=0.87.</w:t>
      </w:r>
    </w:p>
    <w:p w14:paraId="24AF2A77" w14:textId="4B9864E0" w:rsidR="00B549B1" w:rsidRDefault="00B549B1" w:rsidP="00B549B1">
      <w:pPr>
        <w:spacing w:after="120"/>
        <w:ind w:rightChars="100" w:right="200"/>
        <w:jc w:val="both"/>
        <w:rPr>
          <w:rFonts w:eastAsiaTheme="minorEastAsia"/>
          <w:b/>
        </w:rPr>
      </w:pPr>
      <w:r>
        <w:rPr>
          <w:rFonts w:eastAsiaTheme="minorEastAsia"/>
          <w:b/>
        </w:rPr>
        <w:t xml:space="preserve">Observation 3: For </w:t>
      </w:r>
      <w:r w:rsidR="00E83F8D" w:rsidRPr="00986E3B">
        <w:rPr>
          <w:b/>
        </w:rPr>
        <w:t xml:space="preserve">FR2 to FR2 intra-frequency temporal domain case A </w:t>
      </w:r>
      <w:r w:rsidR="00E83F8D">
        <w:rPr>
          <w:b/>
        </w:rPr>
        <w:t>(Case 4)</w:t>
      </w:r>
      <w:r>
        <w:rPr>
          <w:rFonts w:eastAsiaTheme="minorEastAsia"/>
          <w:b/>
        </w:rPr>
        <w:t xml:space="preserve">, HO performance can be improved significantly using HO option 2 while utilizing HO option 1 brings no mobility performance gains. </w:t>
      </w:r>
    </w:p>
    <w:p w14:paraId="6EFCD6B1" w14:textId="77777777" w:rsidR="00B549B1" w:rsidRDefault="00B549B1" w:rsidP="00B549B1">
      <w:pPr>
        <w:spacing w:after="120"/>
        <w:ind w:rightChars="100" w:right="200"/>
        <w:jc w:val="both"/>
        <w:rPr>
          <w:rFonts w:eastAsiaTheme="minorEastAsia"/>
          <w:b/>
        </w:rPr>
      </w:pPr>
      <w:r>
        <w:rPr>
          <w:rFonts w:eastAsiaTheme="minorEastAsia"/>
          <w:b/>
        </w:rPr>
        <w:t>Observation 4: The performance gain is observed in terms of both HOF rate and t</w:t>
      </w:r>
      <w:r w:rsidRPr="0026417E">
        <w:rPr>
          <w:rFonts w:eastAsiaTheme="minorEastAsia"/>
          <w:b/>
        </w:rPr>
        <w:t>otal number of HOF per UE per second</w:t>
      </w:r>
      <w:r>
        <w:rPr>
          <w:rFonts w:eastAsiaTheme="minorEastAsia"/>
          <w:b/>
        </w:rPr>
        <w:t>, e.g. in the RAN2 agreed scenario HOF rate drops from 70% to 25% while the t</w:t>
      </w:r>
      <w:r w:rsidRPr="0026417E">
        <w:rPr>
          <w:rFonts w:eastAsiaTheme="minorEastAsia"/>
          <w:b/>
        </w:rPr>
        <w:t>otal number of HOF per UE per second</w:t>
      </w:r>
      <w:r>
        <w:rPr>
          <w:rFonts w:eastAsiaTheme="minorEastAsia"/>
          <w:b/>
        </w:rPr>
        <w:t xml:space="preserve"> drops from </w:t>
      </w:r>
      <w:r w:rsidRPr="0026417E">
        <w:rPr>
          <w:rFonts w:eastAsiaTheme="minorEastAsia"/>
          <w:b/>
        </w:rPr>
        <w:t>0.419</w:t>
      </w:r>
      <w:r>
        <w:rPr>
          <w:rFonts w:eastAsiaTheme="minorEastAsia"/>
          <w:b/>
        </w:rPr>
        <w:t xml:space="preserve"> to 0.105.</w:t>
      </w:r>
    </w:p>
    <w:p w14:paraId="74C53EBB" w14:textId="77777777" w:rsidR="00B549B1" w:rsidRDefault="00B549B1" w:rsidP="00B549B1">
      <w:pPr>
        <w:spacing w:after="120"/>
        <w:ind w:rightChars="100" w:right="200"/>
        <w:jc w:val="both"/>
        <w:rPr>
          <w:rFonts w:eastAsiaTheme="minorEastAsia"/>
          <w:b/>
          <w:lang w:val="en-US"/>
        </w:rPr>
      </w:pPr>
      <w:r>
        <w:rPr>
          <w:rFonts w:eastAsiaTheme="minorEastAsia"/>
          <w:b/>
          <w:lang w:val="en-US"/>
        </w:rPr>
        <w:t>Observation 5: AIML models can help to improve the mobility performance significantly, even when the achieved F1 score is low.</w:t>
      </w:r>
    </w:p>
    <w:p w14:paraId="4E0484A4" w14:textId="77777777" w:rsidR="00B549B1" w:rsidRPr="00CC2165" w:rsidRDefault="00B549B1" w:rsidP="00B549B1">
      <w:pPr>
        <w:spacing w:after="120"/>
        <w:ind w:rightChars="100" w:right="200"/>
        <w:jc w:val="both"/>
        <w:rPr>
          <w:rFonts w:eastAsiaTheme="minorEastAsia"/>
          <w:b/>
          <w:lang w:val="en-US"/>
        </w:rPr>
      </w:pPr>
      <w:r>
        <w:rPr>
          <w:rFonts w:eastAsiaTheme="minorEastAsia"/>
          <w:b/>
          <w:lang w:val="en-US"/>
        </w:rPr>
        <w:t>Observation 6: F1 score alone does not provide sufficient information about the usefulness of measurement event prediction for mobility improvement in the system.</w:t>
      </w:r>
    </w:p>
    <w:p w14:paraId="4F7EF9A2" w14:textId="7735C689" w:rsidR="00BD3D20" w:rsidRPr="00AA1686" w:rsidRDefault="00BD3D20" w:rsidP="00B549B1">
      <w:pPr>
        <w:spacing w:after="120"/>
        <w:ind w:rightChars="100" w:right="200"/>
        <w:jc w:val="both"/>
        <w:rPr>
          <w:rFonts w:eastAsiaTheme="minorEastAsia"/>
          <w:b/>
        </w:rPr>
      </w:pPr>
    </w:p>
    <w:p w14:paraId="26130C44" w14:textId="77777777" w:rsidR="00021765" w:rsidRDefault="00021765" w:rsidP="00FA4F93">
      <w:pPr>
        <w:spacing w:after="0"/>
        <w:rPr>
          <w:rFonts w:eastAsiaTheme="minorEastAsia"/>
        </w:rPr>
      </w:pPr>
    </w:p>
    <w:p w14:paraId="7BA55BB1" w14:textId="567419FB" w:rsidR="00EB4E2E" w:rsidRPr="0060578E" w:rsidRDefault="00EB4E2E" w:rsidP="00EB4E2E">
      <w:pPr>
        <w:pStyle w:val="Heading1"/>
      </w:pPr>
      <w:r w:rsidRPr="0060578E">
        <w:t>References</w:t>
      </w:r>
    </w:p>
    <w:p w14:paraId="38D2F112" w14:textId="46EF7EAB" w:rsidR="00056ED0" w:rsidRDefault="00056ED0" w:rsidP="00975887">
      <w:pPr>
        <w:pStyle w:val="ListParagraph"/>
        <w:numPr>
          <w:ilvl w:val="0"/>
          <w:numId w:val="6"/>
        </w:numPr>
        <w:ind w:leftChars="0"/>
        <w:rPr>
          <w:rFonts w:eastAsiaTheme="minorEastAsia"/>
          <w:sz w:val="22"/>
          <w:szCs w:val="22"/>
        </w:rPr>
      </w:pPr>
      <w:r w:rsidRPr="00056ED0">
        <w:rPr>
          <w:rFonts w:eastAsiaTheme="minorEastAsia"/>
          <w:sz w:val="22"/>
          <w:szCs w:val="22"/>
        </w:rPr>
        <w:t>R2-2500892</w:t>
      </w:r>
      <w:r>
        <w:rPr>
          <w:rFonts w:eastAsiaTheme="minorEastAsia"/>
          <w:sz w:val="22"/>
          <w:szCs w:val="22"/>
        </w:rPr>
        <w:t xml:space="preserve"> S</w:t>
      </w:r>
      <w:r w:rsidRPr="00056ED0">
        <w:rPr>
          <w:rFonts w:eastAsiaTheme="minorEastAsia"/>
          <w:sz w:val="22"/>
          <w:szCs w:val="22"/>
        </w:rPr>
        <w:t>imulation results for measurement event prediction</w:t>
      </w:r>
      <w:r>
        <w:rPr>
          <w:rFonts w:eastAsiaTheme="minorEastAsia"/>
          <w:sz w:val="22"/>
          <w:szCs w:val="22"/>
        </w:rPr>
        <w:t xml:space="preserve"> Huawei, HiSilicon</w:t>
      </w:r>
    </w:p>
    <w:p w14:paraId="6CDB365E" w14:textId="2433D45A" w:rsidR="00611E03" w:rsidRDefault="00611E03" w:rsidP="00975887">
      <w:pPr>
        <w:pStyle w:val="ListParagraph"/>
        <w:numPr>
          <w:ilvl w:val="0"/>
          <w:numId w:val="6"/>
        </w:numPr>
        <w:ind w:leftChars="0"/>
        <w:rPr>
          <w:rFonts w:eastAsiaTheme="minorEastAsia"/>
          <w:sz w:val="22"/>
          <w:szCs w:val="22"/>
        </w:rPr>
      </w:pPr>
      <w:r w:rsidRPr="00611E03">
        <w:rPr>
          <w:rFonts w:eastAsiaTheme="minorEastAsia"/>
          <w:sz w:val="22"/>
          <w:szCs w:val="22"/>
        </w:rPr>
        <w:t>R2- 2501555</w:t>
      </w:r>
      <w:r>
        <w:rPr>
          <w:rFonts w:eastAsiaTheme="minorEastAsia"/>
          <w:sz w:val="22"/>
          <w:szCs w:val="22"/>
        </w:rPr>
        <w:t xml:space="preserve"> </w:t>
      </w:r>
      <w:r w:rsidRPr="00611E03">
        <w:rPr>
          <w:rFonts w:eastAsiaTheme="minorEastAsia"/>
          <w:sz w:val="22"/>
          <w:szCs w:val="22"/>
        </w:rPr>
        <w:t>Draft summary of [AT</w:t>
      </w:r>
      <w:proofErr w:type="gramStart"/>
      <w:r w:rsidRPr="00611E03">
        <w:rPr>
          <w:rFonts w:eastAsiaTheme="minorEastAsia"/>
          <w:sz w:val="22"/>
          <w:szCs w:val="22"/>
        </w:rPr>
        <w:t>129][</w:t>
      </w:r>
      <w:proofErr w:type="gramEnd"/>
      <w:r w:rsidRPr="00611E03">
        <w:rPr>
          <w:rFonts w:eastAsiaTheme="minorEastAsia"/>
          <w:sz w:val="22"/>
          <w:szCs w:val="22"/>
        </w:rPr>
        <w:t>027][AI Mob] Simulation methodology (OPPO)</w:t>
      </w:r>
      <w:r>
        <w:rPr>
          <w:rFonts w:eastAsiaTheme="minorEastAsia"/>
          <w:sz w:val="22"/>
          <w:szCs w:val="22"/>
        </w:rPr>
        <w:t xml:space="preserve"> OPPO</w:t>
      </w:r>
    </w:p>
    <w:p w14:paraId="27E3ED8C" w14:textId="376029FE" w:rsidR="00A9380F" w:rsidRDefault="00FF12CB" w:rsidP="00975887">
      <w:pPr>
        <w:pStyle w:val="ListParagraph"/>
        <w:numPr>
          <w:ilvl w:val="0"/>
          <w:numId w:val="6"/>
        </w:numPr>
        <w:ind w:leftChars="0"/>
        <w:rPr>
          <w:rFonts w:eastAsiaTheme="minorEastAsia"/>
          <w:sz w:val="22"/>
          <w:szCs w:val="22"/>
        </w:rPr>
      </w:pPr>
      <w:r w:rsidRPr="00FF12CB">
        <w:rPr>
          <w:rFonts w:eastAsiaTheme="minorEastAsia"/>
          <w:sz w:val="22"/>
          <w:szCs w:val="22"/>
        </w:rPr>
        <w:t>R2-2500287</w:t>
      </w:r>
      <w:r w:rsidR="00A84103">
        <w:rPr>
          <w:rFonts w:eastAsiaTheme="minorEastAsia"/>
          <w:sz w:val="22"/>
          <w:szCs w:val="22"/>
        </w:rPr>
        <w:t xml:space="preserve"> </w:t>
      </w:r>
      <w:r w:rsidRPr="00FF12CB">
        <w:rPr>
          <w:rFonts w:eastAsiaTheme="minorEastAsia"/>
          <w:sz w:val="22"/>
          <w:szCs w:val="22"/>
        </w:rPr>
        <w:t>Text proposal of 38.744</w:t>
      </w:r>
      <w:r w:rsidRPr="00FF12CB">
        <w:rPr>
          <w:rFonts w:eastAsiaTheme="minorEastAsia"/>
          <w:sz w:val="22"/>
          <w:szCs w:val="22"/>
        </w:rPr>
        <w:tab/>
        <w:t>OPPO</w:t>
      </w:r>
      <w:r w:rsidRPr="00FF12CB">
        <w:rPr>
          <w:rFonts w:eastAsiaTheme="minorEastAsia"/>
          <w:sz w:val="22"/>
          <w:szCs w:val="22"/>
        </w:rPr>
        <w:tab/>
      </w:r>
      <w:r w:rsidR="00A84103">
        <w:rPr>
          <w:rFonts w:eastAsiaTheme="minorEastAsia"/>
          <w:sz w:val="22"/>
          <w:szCs w:val="22"/>
        </w:rPr>
        <w:t xml:space="preserve"> </w:t>
      </w:r>
      <w:proofErr w:type="spellStart"/>
      <w:r w:rsidRPr="00FF12CB">
        <w:rPr>
          <w:rFonts w:eastAsiaTheme="minorEastAsia"/>
          <w:sz w:val="22"/>
          <w:szCs w:val="22"/>
        </w:rPr>
        <w:t>pCR</w:t>
      </w:r>
      <w:proofErr w:type="spellEnd"/>
      <w:r w:rsidRPr="00FF12CB">
        <w:rPr>
          <w:rFonts w:eastAsiaTheme="minorEastAsia"/>
          <w:sz w:val="22"/>
          <w:szCs w:val="22"/>
        </w:rPr>
        <w:tab/>
        <w:t>Rel-19</w:t>
      </w:r>
      <w:r w:rsidRPr="00FF12CB">
        <w:rPr>
          <w:rFonts w:eastAsiaTheme="minorEastAsia"/>
          <w:sz w:val="22"/>
          <w:szCs w:val="22"/>
        </w:rPr>
        <w:tab/>
        <w:t>38.744</w:t>
      </w:r>
      <w:r w:rsidRPr="00FF12CB">
        <w:rPr>
          <w:rFonts w:eastAsiaTheme="minorEastAsia"/>
          <w:sz w:val="22"/>
          <w:szCs w:val="22"/>
        </w:rPr>
        <w:tab/>
        <w:t>0.0.6</w:t>
      </w:r>
      <w:r w:rsidRPr="00FF12CB">
        <w:rPr>
          <w:rFonts w:eastAsiaTheme="minorEastAsia"/>
          <w:sz w:val="22"/>
          <w:szCs w:val="22"/>
        </w:rPr>
        <w:tab/>
      </w:r>
    </w:p>
    <w:p w14:paraId="3FB5B58C" w14:textId="35C9D12D" w:rsidR="0097558D" w:rsidRPr="0097558D" w:rsidRDefault="0097558D" w:rsidP="0097558D">
      <w:pPr>
        <w:pStyle w:val="ListParagraph"/>
        <w:numPr>
          <w:ilvl w:val="0"/>
          <w:numId w:val="6"/>
        </w:numPr>
        <w:ind w:leftChars="0"/>
        <w:rPr>
          <w:rFonts w:eastAsiaTheme="minorEastAsia"/>
          <w:sz w:val="22"/>
          <w:szCs w:val="22"/>
        </w:rPr>
      </w:pPr>
      <w:r>
        <w:rPr>
          <w:rFonts w:eastAsiaTheme="minorEastAsia"/>
          <w:sz w:val="22"/>
          <w:szCs w:val="22"/>
        </w:rPr>
        <w:t xml:space="preserve">3GPP </w:t>
      </w:r>
      <w:r w:rsidR="00AF204C">
        <w:rPr>
          <w:rFonts w:eastAsiaTheme="minorEastAsia"/>
          <w:sz w:val="22"/>
          <w:szCs w:val="22"/>
        </w:rPr>
        <w:t>TR 36.839</w:t>
      </w:r>
      <w:r>
        <w:rPr>
          <w:rFonts w:eastAsiaTheme="minorEastAsia"/>
          <w:sz w:val="22"/>
          <w:szCs w:val="22"/>
        </w:rPr>
        <w:tab/>
      </w:r>
      <w:r w:rsidR="00AF204C" w:rsidRPr="00AF204C">
        <w:rPr>
          <w:rFonts w:eastAsiaTheme="minorEastAsia"/>
          <w:sz w:val="22"/>
          <w:szCs w:val="22"/>
        </w:rPr>
        <w:t>Evolved Universal Terrestrial Radio Access (E-UTRA);</w:t>
      </w:r>
      <w:r w:rsidR="00AF204C">
        <w:rPr>
          <w:rFonts w:eastAsiaTheme="minorEastAsia"/>
          <w:sz w:val="22"/>
          <w:szCs w:val="22"/>
        </w:rPr>
        <w:t xml:space="preserve"> </w:t>
      </w:r>
      <w:r w:rsidR="00AF204C" w:rsidRPr="00AF204C">
        <w:rPr>
          <w:rFonts w:eastAsiaTheme="minorEastAsia"/>
          <w:sz w:val="22"/>
          <w:szCs w:val="22"/>
        </w:rPr>
        <w:t>Mobility</w:t>
      </w:r>
      <w:r w:rsidR="007C1033">
        <w:rPr>
          <w:rFonts w:eastAsiaTheme="minorEastAsia"/>
          <w:sz w:val="22"/>
          <w:szCs w:val="22"/>
        </w:rPr>
        <w:t xml:space="preserve"> </w:t>
      </w:r>
      <w:r w:rsidR="00AF204C" w:rsidRPr="00AF204C">
        <w:rPr>
          <w:rFonts w:eastAsiaTheme="minorEastAsia"/>
          <w:sz w:val="22"/>
          <w:szCs w:val="22"/>
        </w:rPr>
        <w:t>enhancements in</w:t>
      </w:r>
      <w:r w:rsidR="007C1033">
        <w:rPr>
          <w:rFonts w:eastAsiaTheme="minorEastAsia"/>
          <w:sz w:val="22"/>
          <w:szCs w:val="22"/>
        </w:rPr>
        <w:t xml:space="preserve"> </w:t>
      </w:r>
      <w:r w:rsidR="00AF204C" w:rsidRPr="00AF204C">
        <w:rPr>
          <w:rFonts w:eastAsiaTheme="minorEastAsia"/>
          <w:sz w:val="22"/>
          <w:szCs w:val="22"/>
        </w:rPr>
        <w:t xml:space="preserve">heterogeneous networks  </w:t>
      </w:r>
    </w:p>
    <w:p w14:paraId="2336111C" w14:textId="5B9F3B1A" w:rsidR="00EB4E2E" w:rsidRPr="0060578E" w:rsidRDefault="00EB4E2E" w:rsidP="00880B68">
      <w:pPr>
        <w:pStyle w:val="ListParagraph"/>
        <w:ind w:leftChars="0" w:left="720"/>
        <w:rPr>
          <w:rFonts w:eastAsiaTheme="minorEastAsia"/>
          <w:sz w:val="22"/>
          <w:szCs w:val="22"/>
        </w:rPr>
      </w:pPr>
    </w:p>
    <w:p w14:paraId="32B08664" w14:textId="063B4F06" w:rsidR="00C217E6" w:rsidRPr="0060578E" w:rsidRDefault="00C217E6" w:rsidP="00C217E6">
      <w:pPr>
        <w:pStyle w:val="Heading1"/>
      </w:pPr>
      <w:r>
        <w:lastRenderedPageBreak/>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64</w:t>
            </w:r>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8</w:t>
            </w:r>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lastRenderedPageBreak/>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7EC0D8B7" w14:textId="77777777" w:rsidR="00FB01C0" w:rsidRPr="00C217E6" w:rsidRDefault="00FB01C0" w:rsidP="00C217E6">
      <w:pPr>
        <w:rPr>
          <w:rFonts w:eastAsiaTheme="minorEastAsia"/>
          <w:sz w:val="22"/>
          <w:szCs w:val="22"/>
        </w:rPr>
      </w:pPr>
    </w:p>
    <w:sectPr w:rsidR="00FB01C0" w:rsidRPr="00C217E6">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34DFE" w14:textId="77777777" w:rsidR="009C441F" w:rsidRDefault="009C441F">
      <w:pPr>
        <w:spacing w:after="0"/>
      </w:pPr>
      <w:r>
        <w:separator/>
      </w:r>
    </w:p>
  </w:endnote>
  <w:endnote w:type="continuationSeparator" w:id="0">
    <w:p w14:paraId="774A2F0F" w14:textId="77777777" w:rsidR="009C441F" w:rsidRDefault="009C4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364BB" w14:textId="77777777" w:rsidR="009C441F" w:rsidRDefault="009C441F">
      <w:pPr>
        <w:spacing w:after="0"/>
      </w:pPr>
      <w:r>
        <w:separator/>
      </w:r>
    </w:p>
  </w:footnote>
  <w:footnote w:type="continuationSeparator" w:id="0">
    <w:p w14:paraId="3FA8EDBA" w14:textId="77777777" w:rsidR="009C441F" w:rsidRDefault="009C44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F7049"/>
    <w:multiLevelType w:val="multilevel"/>
    <w:tmpl w:val="C2F4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8C3994"/>
    <w:multiLevelType w:val="hybridMultilevel"/>
    <w:tmpl w:val="5AEA45C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D45FA9"/>
    <w:multiLevelType w:val="multilevel"/>
    <w:tmpl w:val="3E3C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2D447D"/>
    <w:multiLevelType w:val="multilevel"/>
    <w:tmpl w:val="56EE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F82E36"/>
    <w:multiLevelType w:val="hybridMultilevel"/>
    <w:tmpl w:val="7CF0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lvlOverride w:ilvl="0">
      <w:startOverride w:val="1"/>
    </w:lvlOverride>
  </w:num>
  <w:num w:numId="4">
    <w:abstractNumId w:val="2"/>
  </w:num>
  <w:num w:numId="5">
    <w:abstractNumId w:val="17"/>
  </w:num>
  <w:num w:numId="6">
    <w:abstractNumId w:val="18"/>
  </w:num>
  <w:num w:numId="7">
    <w:abstractNumId w:val="15"/>
  </w:num>
  <w:num w:numId="8">
    <w:abstractNumId w:val="3"/>
  </w:num>
  <w:num w:numId="9">
    <w:abstractNumId w:val="4"/>
  </w:num>
  <w:num w:numId="10">
    <w:abstractNumId w:val="1"/>
  </w:num>
  <w:num w:numId="11">
    <w:abstractNumId w:val="14"/>
  </w:num>
  <w:num w:numId="12">
    <w:abstractNumId w:val="12"/>
  </w:num>
  <w:num w:numId="13">
    <w:abstractNumId w:val="7"/>
  </w:num>
  <w:num w:numId="14">
    <w:abstractNumId w:val="9"/>
  </w:num>
  <w:num w:numId="15">
    <w:abstractNumId w:val="0"/>
    <w:lvlOverride w:ilvl="0">
      <w:startOverride w:val="1"/>
    </w:lvlOverride>
  </w:num>
  <w:num w:numId="16">
    <w:abstractNumId w:val="11"/>
    <w:lvlOverride w:ilvl="0">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46D"/>
    <w:rsid w:val="0002275C"/>
    <w:rsid w:val="000236F3"/>
    <w:rsid w:val="0002378F"/>
    <w:rsid w:val="00023997"/>
    <w:rsid w:val="00023A6E"/>
    <w:rsid w:val="000244DF"/>
    <w:rsid w:val="0002493B"/>
    <w:rsid w:val="00024CF5"/>
    <w:rsid w:val="00025356"/>
    <w:rsid w:val="00025425"/>
    <w:rsid w:val="00025CD5"/>
    <w:rsid w:val="00025FDA"/>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6A7"/>
    <w:rsid w:val="000E678C"/>
    <w:rsid w:val="000E67E3"/>
    <w:rsid w:val="000E6D69"/>
    <w:rsid w:val="000E6E30"/>
    <w:rsid w:val="000F064A"/>
    <w:rsid w:val="000F0D1E"/>
    <w:rsid w:val="000F1992"/>
    <w:rsid w:val="000F1B4E"/>
    <w:rsid w:val="000F24AC"/>
    <w:rsid w:val="000F24E3"/>
    <w:rsid w:val="000F2D35"/>
    <w:rsid w:val="000F3FD7"/>
    <w:rsid w:val="000F41F4"/>
    <w:rsid w:val="000F5285"/>
    <w:rsid w:val="000F5509"/>
    <w:rsid w:val="000F581B"/>
    <w:rsid w:val="000F5ED9"/>
    <w:rsid w:val="000F6165"/>
    <w:rsid w:val="000F6509"/>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E7"/>
    <w:rsid w:val="001145FF"/>
    <w:rsid w:val="0011464B"/>
    <w:rsid w:val="00114C22"/>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3FA8"/>
    <w:rsid w:val="001A42BA"/>
    <w:rsid w:val="001A4B5D"/>
    <w:rsid w:val="001A5051"/>
    <w:rsid w:val="001A53F7"/>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D5A"/>
    <w:rsid w:val="001F7029"/>
    <w:rsid w:val="001F7726"/>
    <w:rsid w:val="00200279"/>
    <w:rsid w:val="00200AD8"/>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76A"/>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A3C"/>
    <w:rsid w:val="00252CC4"/>
    <w:rsid w:val="00252FBF"/>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B79"/>
    <w:rsid w:val="00262DAD"/>
    <w:rsid w:val="00263100"/>
    <w:rsid w:val="002638B1"/>
    <w:rsid w:val="00263F24"/>
    <w:rsid w:val="0026417E"/>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59A"/>
    <w:rsid w:val="002F09A8"/>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2B6"/>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596"/>
    <w:rsid w:val="0034043E"/>
    <w:rsid w:val="00340B80"/>
    <w:rsid w:val="00340DF7"/>
    <w:rsid w:val="00340F84"/>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4701"/>
    <w:rsid w:val="00374A99"/>
    <w:rsid w:val="00375526"/>
    <w:rsid w:val="00375BDC"/>
    <w:rsid w:val="00376398"/>
    <w:rsid w:val="003763F7"/>
    <w:rsid w:val="003770C8"/>
    <w:rsid w:val="00377312"/>
    <w:rsid w:val="003774E0"/>
    <w:rsid w:val="00377659"/>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160"/>
    <w:rsid w:val="0046422D"/>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EC6"/>
    <w:rsid w:val="00475FF6"/>
    <w:rsid w:val="004761B7"/>
    <w:rsid w:val="004762EE"/>
    <w:rsid w:val="004765ED"/>
    <w:rsid w:val="004767FB"/>
    <w:rsid w:val="00476942"/>
    <w:rsid w:val="00476D65"/>
    <w:rsid w:val="004770A1"/>
    <w:rsid w:val="004770F0"/>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F8E"/>
    <w:rsid w:val="004A3FEC"/>
    <w:rsid w:val="004A4095"/>
    <w:rsid w:val="004A4810"/>
    <w:rsid w:val="004A4A52"/>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2F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779"/>
    <w:rsid w:val="004C1909"/>
    <w:rsid w:val="004C1A52"/>
    <w:rsid w:val="004C1EE7"/>
    <w:rsid w:val="004C240B"/>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2D"/>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4D3"/>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F0A"/>
    <w:rsid w:val="006201C8"/>
    <w:rsid w:val="0062056B"/>
    <w:rsid w:val="0062061C"/>
    <w:rsid w:val="0062085F"/>
    <w:rsid w:val="00620927"/>
    <w:rsid w:val="00620A7D"/>
    <w:rsid w:val="00620C52"/>
    <w:rsid w:val="00620F86"/>
    <w:rsid w:val="0062100C"/>
    <w:rsid w:val="00622119"/>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9A0"/>
    <w:rsid w:val="006D4F8C"/>
    <w:rsid w:val="006D53DF"/>
    <w:rsid w:val="006D5935"/>
    <w:rsid w:val="006D5B80"/>
    <w:rsid w:val="006D5DFC"/>
    <w:rsid w:val="006D6429"/>
    <w:rsid w:val="006D69A3"/>
    <w:rsid w:val="006D7000"/>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BF8"/>
    <w:rsid w:val="007007D3"/>
    <w:rsid w:val="00700F6A"/>
    <w:rsid w:val="0070113B"/>
    <w:rsid w:val="007014B9"/>
    <w:rsid w:val="007015C4"/>
    <w:rsid w:val="007017EA"/>
    <w:rsid w:val="00701A4A"/>
    <w:rsid w:val="00701FE7"/>
    <w:rsid w:val="0070257B"/>
    <w:rsid w:val="00702C8A"/>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6E2"/>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00D"/>
    <w:rsid w:val="007275F7"/>
    <w:rsid w:val="00727AF2"/>
    <w:rsid w:val="00727B4C"/>
    <w:rsid w:val="007304A9"/>
    <w:rsid w:val="007304F6"/>
    <w:rsid w:val="007306C2"/>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1251"/>
    <w:rsid w:val="00741890"/>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407D"/>
    <w:rsid w:val="007E451F"/>
    <w:rsid w:val="007E5078"/>
    <w:rsid w:val="007E5C50"/>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DC1"/>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5E2"/>
    <w:rsid w:val="008B3652"/>
    <w:rsid w:val="008B37C9"/>
    <w:rsid w:val="008B388C"/>
    <w:rsid w:val="008B3DE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3D8"/>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CE0"/>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4584"/>
    <w:rsid w:val="009A4747"/>
    <w:rsid w:val="009A489E"/>
    <w:rsid w:val="009A4E5F"/>
    <w:rsid w:val="009A5002"/>
    <w:rsid w:val="009A51B0"/>
    <w:rsid w:val="009A5DAF"/>
    <w:rsid w:val="009A6267"/>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055"/>
    <w:rsid w:val="009B57B6"/>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41F"/>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507"/>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124"/>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86"/>
    <w:rsid w:val="00AA1AE7"/>
    <w:rsid w:val="00AA268D"/>
    <w:rsid w:val="00AA2748"/>
    <w:rsid w:val="00AA27E3"/>
    <w:rsid w:val="00AA3184"/>
    <w:rsid w:val="00AA36F2"/>
    <w:rsid w:val="00AA37C6"/>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27F8"/>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5C6"/>
    <w:rsid w:val="00BC6A2F"/>
    <w:rsid w:val="00BC6F63"/>
    <w:rsid w:val="00BC7433"/>
    <w:rsid w:val="00BC76FB"/>
    <w:rsid w:val="00BD00A4"/>
    <w:rsid w:val="00BD03EF"/>
    <w:rsid w:val="00BD043F"/>
    <w:rsid w:val="00BD0B5A"/>
    <w:rsid w:val="00BD0D11"/>
    <w:rsid w:val="00BD188E"/>
    <w:rsid w:val="00BD1C44"/>
    <w:rsid w:val="00BD1DDF"/>
    <w:rsid w:val="00BD248B"/>
    <w:rsid w:val="00BD25EB"/>
    <w:rsid w:val="00BD2BCE"/>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DE5"/>
    <w:rsid w:val="00C07250"/>
    <w:rsid w:val="00C07828"/>
    <w:rsid w:val="00C07881"/>
    <w:rsid w:val="00C07F29"/>
    <w:rsid w:val="00C10020"/>
    <w:rsid w:val="00C102F8"/>
    <w:rsid w:val="00C10809"/>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8D7"/>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5081"/>
    <w:rsid w:val="00C75315"/>
    <w:rsid w:val="00C7564F"/>
    <w:rsid w:val="00C7569E"/>
    <w:rsid w:val="00C76134"/>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5F3"/>
    <w:rsid w:val="00CA6B0E"/>
    <w:rsid w:val="00CA6D7D"/>
    <w:rsid w:val="00CA6E34"/>
    <w:rsid w:val="00CA7B52"/>
    <w:rsid w:val="00CB0013"/>
    <w:rsid w:val="00CB0A5D"/>
    <w:rsid w:val="00CB0D47"/>
    <w:rsid w:val="00CB1B03"/>
    <w:rsid w:val="00CB1B28"/>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F8"/>
    <w:rsid w:val="00CF4B71"/>
    <w:rsid w:val="00CF4D9C"/>
    <w:rsid w:val="00CF51F0"/>
    <w:rsid w:val="00CF5201"/>
    <w:rsid w:val="00CF5B39"/>
    <w:rsid w:val="00CF5F12"/>
    <w:rsid w:val="00CF6A8B"/>
    <w:rsid w:val="00CF6CD0"/>
    <w:rsid w:val="00CF713C"/>
    <w:rsid w:val="00CF744E"/>
    <w:rsid w:val="00D00EE5"/>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5E58"/>
    <w:rsid w:val="00D66133"/>
    <w:rsid w:val="00D6628A"/>
    <w:rsid w:val="00D666FE"/>
    <w:rsid w:val="00D668A0"/>
    <w:rsid w:val="00D668B3"/>
    <w:rsid w:val="00D66B41"/>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5EF"/>
    <w:rsid w:val="00D818CB"/>
    <w:rsid w:val="00D81FFB"/>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02D"/>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A46"/>
    <w:rsid w:val="00DE4FEE"/>
    <w:rsid w:val="00DE524A"/>
    <w:rsid w:val="00DE5E9D"/>
    <w:rsid w:val="00DE6883"/>
    <w:rsid w:val="00DE6F37"/>
    <w:rsid w:val="00DE7EBC"/>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2DE3"/>
    <w:rsid w:val="00E635AB"/>
    <w:rsid w:val="00E640C5"/>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9C7"/>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3F8D"/>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EAA"/>
    <w:rsid w:val="00F31D5F"/>
    <w:rsid w:val="00F31E98"/>
    <w:rsid w:val="00F323D9"/>
    <w:rsid w:val="00F333B7"/>
    <w:rsid w:val="00F338E4"/>
    <w:rsid w:val="00F33F5F"/>
    <w:rsid w:val="00F33F6E"/>
    <w:rsid w:val="00F34194"/>
    <w:rsid w:val="00F34243"/>
    <w:rsid w:val="00F343FF"/>
    <w:rsid w:val="00F34466"/>
    <w:rsid w:val="00F34FC8"/>
    <w:rsid w:val="00F35990"/>
    <w:rsid w:val="00F35CC3"/>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A89"/>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3E05"/>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4FB"/>
    <w:rsid w:val="00FE687C"/>
    <w:rsid w:val="00FE69A0"/>
    <w:rsid w:val="00FE761D"/>
    <w:rsid w:val="00FE7995"/>
    <w:rsid w:val="00FE7EEA"/>
    <w:rsid w:val="00FE7FE6"/>
    <w:rsid w:val="00FF089D"/>
    <w:rsid w:val="00FF0AAC"/>
    <w:rsid w:val="00FF0E06"/>
    <w:rsid w:val="00FF1116"/>
    <w:rsid w:val="00FF1121"/>
    <w:rsid w:val="00FF12CB"/>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31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697582495">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1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AF90B5-BC97-4B05-BEFF-E8175073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3358</Words>
  <Characters>19146</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4</cp:revision>
  <cp:lastPrinted>2014-08-13T09:20:00Z</cp:lastPrinted>
  <dcterms:created xsi:type="dcterms:W3CDTF">2025-03-26T15:50:00Z</dcterms:created>
  <dcterms:modified xsi:type="dcterms:W3CDTF">2025-03-27T14:30:00Z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